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rPr>
      </w:pPr>
      <w:bookmarkStart w:id="1" w:name="_GoBack"/>
      <w:r>
        <w:rPr>
          <w:rFonts w:hint="eastAsia" w:ascii="黑体" w:hAnsi="黑体" w:eastAsia="黑体"/>
        </w:rPr>
        <w:t>陕西省养老机构星级评定指标体系</w:t>
      </w:r>
    </w:p>
    <w:bookmarkEnd w:id="1"/>
    <w:p>
      <w:pPr>
        <w:spacing w:line="340" w:lineRule="exact"/>
        <w:rPr>
          <w:rFonts w:ascii="宋体" w:hAnsi="宋体"/>
          <w:color w:val="000000"/>
          <w:sz w:val="24"/>
        </w:rPr>
      </w:pPr>
      <w:r>
        <w:rPr>
          <w:rStyle w:val="7"/>
          <w:rFonts w:hint="eastAsia" w:ascii="宋体" w:hAnsi="宋体"/>
          <w:color w:val="000000"/>
          <w:sz w:val="24"/>
          <w:u w:val="none"/>
        </w:rPr>
        <w:t>1.结构性指标：总分2</w:t>
      </w:r>
      <w:r>
        <w:rPr>
          <w:rStyle w:val="7"/>
          <w:rFonts w:ascii="宋体" w:hAnsi="宋体"/>
          <w:color w:val="000000"/>
          <w:sz w:val="24"/>
          <w:u w:val="none"/>
        </w:rPr>
        <w:t>5</w:t>
      </w:r>
      <w:r>
        <w:rPr>
          <w:rStyle w:val="7"/>
          <w:rFonts w:hint="eastAsia" w:ascii="宋体" w:hAnsi="宋体"/>
          <w:color w:val="000000"/>
          <w:sz w:val="24"/>
          <w:u w:val="none"/>
        </w:rPr>
        <w:t>0分</w:t>
      </w:r>
    </w:p>
    <w:tbl>
      <w:tblPr>
        <w:tblStyle w:val="4"/>
        <w:tblpPr w:leftFromText="180" w:rightFromText="180" w:vertAnchor="page" w:horzAnchor="margin" w:tblpXSpec="center" w:tblpY="3046"/>
        <w:tblW w:w="14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1970"/>
        <w:gridCol w:w="732"/>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noWrap/>
            <w:vAlign w:val="top"/>
          </w:tcPr>
          <w:p>
            <w:pPr>
              <w:spacing w:line="320" w:lineRule="exact"/>
              <w:jc w:val="center"/>
              <w:rPr>
                <w:rStyle w:val="7"/>
                <w:rFonts w:ascii="宋体" w:hAnsi="宋体"/>
                <w:color w:val="000000"/>
                <w:szCs w:val="21"/>
                <w:u w:val="none"/>
              </w:rPr>
            </w:pPr>
            <w:r>
              <w:rPr>
                <w:rStyle w:val="7"/>
                <w:rFonts w:hint="eastAsia" w:ascii="宋体" w:hAnsi="宋体"/>
                <w:color w:val="000000"/>
                <w:szCs w:val="21"/>
                <w:u w:val="none"/>
              </w:rPr>
              <w:t>1.0评定指标</w:t>
            </w:r>
          </w:p>
        </w:tc>
        <w:tc>
          <w:tcPr>
            <w:tcW w:w="11970" w:type="dxa"/>
            <w:noWrap/>
            <w:vAlign w:val="top"/>
          </w:tcPr>
          <w:p>
            <w:pPr>
              <w:spacing w:line="320" w:lineRule="exact"/>
              <w:jc w:val="center"/>
              <w:rPr>
                <w:rStyle w:val="7"/>
                <w:rFonts w:ascii="宋体" w:hAnsi="宋体"/>
                <w:color w:val="000000"/>
                <w:szCs w:val="21"/>
                <w:u w:val="none"/>
              </w:rPr>
            </w:pPr>
            <w:r>
              <w:rPr>
                <w:rStyle w:val="7"/>
                <w:rFonts w:hint="eastAsia" w:ascii="宋体" w:hAnsi="宋体"/>
                <w:color w:val="000000"/>
                <w:szCs w:val="21"/>
                <w:u w:val="none"/>
              </w:rPr>
              <w:t>评定标准</w:t>
            </w:r>
          </w:p>
        </w:tc>
        <w:tc>
          <w:tcPr>
            <w:tcW w:w="732" w:type="dxa"/>
            <w:noWrap/>
            <w:vAlign w:val="top"/>
          </w:tcPr>
          <w:p>
            <w:pPr>
              <w:spacing w:line="320" w:lineRule="exact"/>
              <w:jc w:val="center"/>
              <w:rPr>
                <w:rStyle w:val="7"/>
                <w:rFonts w:ascii="宋体" w:hAnsi="宋体" w:cs="宋体"/>
                <w:b/>
                <w:color w:val="000000"/>
                <w:szCs w:val="21"/>
                <w:u w:val="none"/>
              </w:rPr>
            </w:pPr>
            <w:r>
              <w:rPr>
                <w:rStyle w:val="7"/>
                <w:rFonts w:hint="eastAsia" w:ascii="宋体" w:hAnsi="宋体" w:cs="宋体"/>
                <w:b/>
                <w:color w:val="000000"/>
                <w:szCs w:val="21"/>
                <w:u w:val="none"/>
              </w:rPr>
              <w:t>分值</w:t>
            </w:r>
          </w:p>
        </w:tc>
        <w:tc>
          <w:tcPr>
            <w:tcW w:w="715" w:type="dxa"/>
            <w:noWrap/>
            <w:vAlign w:val="top"/>
          </w:tcPr>
          <w:p>
            <w:pPr>
              <w:spacing w:line="320" w:lineRule="exact"/>
              <w:jc w:val="center"/>
              <w:rPr>
                <w:rStyle w:val="7"/>
                <w:rFonts w:ascii="宋体" w:hAnsi="宋体"/>
                <w:color w:val="000000"/>
                <w:szCs w:val="21"/>
                <w:u w:val="none"/>
              </w:rPr>
            </w:pPr>
            <w:r>
              <w:rPr>
                <w:rStyle w:val="7"/>
                <w:rFonts w:hint="eastAsia" w:ascii="宋体" w:hAnsi="宋体"/>
                <w:color w:val="000000"/>
                <w:szCs w:val="21"/>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restart"/>
            <w:noWrap/>
            <w:vAlign w:val="center"/>
          </w:tcPr>
          <w:p>
            <w:pPr>
              <w:spacing w:line="320" w:lineRule="exact"/>
              <w:jc w:val="center"/>
              <w:rPr>
                <w:rStyle w:val="7"/>
                <w:rFonts w:ascii="黑体" w:hAnsi="黑体" w:eastAsia="黑体" w:cs="宋体"/>
                <w:color w:val="000000"/>
                <w:sz w:val="18"/>
                <w:u w:val="none"/>
              </w:rPr>
            </w:pPr>
            <w:r>
              <w:rPr>
                <w:rStyle w:val="7"/>
                <w:rFonts w:ascii="黑体" w:hAnsi="黑体" w:eastAsia="黑体" w:cs="宋体"/>
                <w:color w:val="000000"/>
                <w:sz w:val="18"/>
                <w:u w:val="none"/>
              </w:rPr>
              <w:t>1.1</w:t>
            </w:r>
          </w:p>
          <w:p>
            <w:pPr>
              <w:spacing w:line="320" w:lineRule="exact"/>
              <w:jc w:val="center"/>
              <w:rPr>
                <w:rStyle w:val="7"/>
                <w:rFonts w:ascii="黑体" w:hAnsi="黑体" w:eastAsia="黑体" w:cs="宋体"/>
                <w:color w:val="000000"/>
                <w:sz w:val="18"/>
                <w:u w:val="none"/>
              </w:rPr>
            </w:pPr>
            <w:r>
              <w:rPr>
                <w:rStyle w:val="7"/>
                <w:rFonts w:hint="eastAsia" w:ascii="黑体" w:hAnsi="黑体" w:eastAsia="黑体" w:cs="宋体"/>
                <w:color w:val="000000"/>
                <w:sz w:val="18"/>
                <w:u w:val="none"/>
              </w:rPr>
              <w:t>现场验证</w:t>
            </w:r>
          </w:p>
          <w:p>
            <w:pPr>
              <w:spacing w:line="320" w:lineRule="exact"/>
              <w:jc w:val="center"/>
              <w:rPr>
                <w:rStyle w:val="7"/>
                <w:rFonts w:ascii="黑体" w:hAnsi="黑体" w:eastAsia="黑体" w:cs="宋体"/>
                <w:color w:val="000000"/>
                <w:sz w:val="18"/>
                <w:u w:val="none"/>
              </w:rPr>
            </w:pPr>
            <w:r>
              <w:rPr>
                <w:rStyle w:val="7"/>
                <w:rFonts w:hint="eastAsia" w:ascii="黑体" w:hAnsi="黑体" w:eastAsia="黑体" w:cs="宋体"/>
                <w:color w:val="000000"/>
                <w:sz w:val="18"/>
                <w:u w:val="none"/>
              </w:rPr>
              <w:t>基本条件</w:t>
            </w:r>
          </w:p>
          <w:p>
            <w:pPr>
              <w:spacing w:line="320" w:lineRule="exact"/>
              <w:jc w:val="center"/>
              <w:rPr>
                <w:rStyle w:val="7"/>
                <w:rFonts w:ascii="黑体" w:hAnsi="黑体" w:eastAsia="黑体" w:cs="宋体"/>
                <w:color w:val="000000"/>
                <w:sz w:val="18"/>
                <w:u w:val="none"/>
              </w:rPr>
            </w:pPr>
          </w:p>
        </w:tc>
        <w:tc>
          <w:tcPr>
            <w:tcW w:w="11970" w:type="dxa"/>
            <w:noWrap/>
            <w:vAlign w:val="center"/>
          </w:tcPr>
          <w:p>
            <w:pPr>
              <w:spacing w:line="320" w:lineRule="exact"/>
              <w:rPr>
                <w:rStyle w:val="7"/>
                <w:rFonts w:ascii="宋体" w:hAnsi="黑体" w:eastAsia="黑体"/>
                <w:color w:val="000000"/>
                <w:sz w:val="24"/>
                <w:u w:val="none"/>
              </w:rPr>
            </w:pPr>
            <w:r>
              <w:rPr>
                <w:rFonts w:hint="eastAsia" w:ascii="宋体"/>
                <w:color w:val="000000"/>
                <w:sz w:val="18"/>
              </w:rPr>
              <w:t>具备并提供《养老机构设立许可证》（备案文件）及其他合法证明许可（备案）文件,建立养老机构年度报告制度。</w:t>
            </w:r>
          </w:p>
        </w:tc>
        <w:tc>
          <w:tcPr>
            <w:tcW w:w="732" w:type="dxa"/>
            <w:vMerge w:val="restart"/>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基本条件</w:t>
            </w:r>
          </w:p>
        </w:tc>
        <w:tc>
          <w:tcPr>
            <w:tcW w:w="715" w:type="dxa"/>
            <w:noWrap/>
            <w:vAlign w:val="top"/>
          </w:tcPr>
          <w:p>
            <w:pPr>
              <w:spacing w:line="32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noWrap/>
            <w:vAlign w:val="center"/>
          </w:tcPr>
          <w:p>
            <w:pPr>
              <w:spacing w:line="320" w:lineRule="exact"/>
              <w:jc w:val="center"/>
              <w:rPr>
                <w:rStyle w:val="7"/>
                <w:rFonts w:ascii="黑体" w:hAnsi="黑体" w:eastAsia="黑体"/>
                <w:color w:val="000000"/>
                <w:sz w:val="24"/>
                <w:u w:val="none"/>
              </w:rPr>
            </w:pPr>
          </w:p>
        </w:tc>
        <w:tc>
          <w:tcPr>
            <w:tcW w:w="11970" w:type="dxa"/>
            <w:noWrap/>
            <w:vAlign w:val="center"/>
          </w:tcPr>
          <w:p>
            <w:pPr>
              <w:spacing w:line="320" w:lineRule="exact"/>
              <w:rPr>
                <w:rStyle w:val="7"/>
                <w:rFonts w:ascii="宋体" w:hAnsi="黑体" w:eastAsia="黑体"/>
                <w:color w:val="000000"/>
                <w:sz w:val="24"/>
                <w:u w:val="none"/>
              </w:rPr>
            </w:pPr>
            <w:r>
              <w:rPr>
                <w:rFonts w:hint="eastAsia" w:ascii="宋体"/>
                <w:color w:val="000000"/>
                <w:sz w:val="18"/>
              </w:rPr>
              <w:t>具备并提供事业单位、工商企业法人登记或民办非企业单位登记的合法证明文件。</w:t>
            </w:r>
          </w:p>
        </w:tc>
        <w:tc>
          <w:tcPr>
            <w:tcW w:w="732" w:type="dxa"/>
            <w:vMerge w:val="continue"/>
            <w:noWrap/>
            <w:vAlign w:val="center"/>
          </w:tcPr>
          <w:p>
            <w:pPr>
              <w:spacing w:line="320" w:lineRule="exact"/>
              <w:jc w:val="center"/>
              <w:rPr>
                <w:rStyle w:val="7"/>
                <w:rFonts w:ascii="宋体" w:hAnsi="宋体" w:cs="宋体"/>
                <w:color w:val="000000"/>
                <w:sz w:val="18"/>
                <w:u w:val="none"/>
              </w:rPr>
            </w:pPr>
          </w:p>
        </w:tc>
        <w:tc>
          <w:tcPr>
            <w:tcW w:w="715" w:type="dxa"/>
            <w:noWrap/>
            <w:vAlign w:val="top"/>
          </w:tcPr>
          <w:p>
            <w:pPr>
              <w:spacing w:line="32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12" w:type="dxa"/>
            <w:vMerge w:val="continue"/>
            <w:noWrap/>
            <w:vAlign w:val="center"/>
          </w:tcPr>
          <w:p>
            <w:pPr>
              <w:spacing w:line="320" w:lineRule="exact"/>
              <w:jc w:val="center"/>
              <w:rPr>
                <w:rStyle w:val="7"/>
                <w:rFonts w:ascii="黑体" w:hAnsi="黑体" w:eastAsia="黑体"/>
                <w:color w:val="000000"/>
                <w:sz w:val="24"/>
                <w:u w:val="none"/>
              </w:rPr>
            </w:pPr>
          </w:p>
        </w:tc>
        <w:tc>
          <w:tcPr>
            <w:tcW w:w="11970" w:type="dxa"/>
            <w:noWrap/>
            <w:vAlign w:val="center"/>
          </w:tcPr>
          <w:p>
            <w:pPr>
              <w:spacing w:line="320" w:lineRule="exact"/>
              <w:rPr>
                <w:rStyle w:val="7"/>
                <w:rFonts w:ascii="宋体" w:hAnsi="黑体"/>
                <w:color w:val="000000"/>
                <w:sz w:val="24"/>
                <w:u w:val="none"/>
              </w:rPr>
            </w:pPr>
            <w:r>
              <w:rPr>
                <w:rFonts w:hint="eastAsia" w:ascii="宋体"/>
                <w:color w:val="000000"/>
                <w:sz w:val="18"/>
              </w:rPr>
              <w:t>有签订预防事故的责任书、具备并提供《消防验收合格证》或《建筑工程消防设计备案受理凭证》、具备电气防火检测、避雷检测报告。若提供消防安全检查表或符合《建筑设计防火规范》（GB 50016）的要求可视为效力同等，符合基本条件。</w:t>
            </w:r>
          </w:p>
        </w:tc>
        <w:tc>
          <w:tcPr>
            <w:tcW w:w="732" w:type="dxa"/>
            <w:vMerge w:val="continue"/>
            <w:noWrap/>
            <w:vAlign w:val="center"/>
          </w:tcPr>
          <w:p>
            <w:pPr>
              <w:spacing w:line="320" w:lineRule="exact"/>
              <w:jc w:val="center"/>
              <w:rPr>
                <w:rStyle w:val="7"/>
                <w:rFonts w:ascii="宋体" w:hAnsi="宋体" w:cs="宋体"/>
                <w:color w:val="000000"/>
                <w:sz w:val="18"/>
                <w:u w:val="none"/>
              </w:rPr>
            </w:pPr>
          </w:p>
        </w:tc>
        <w:tc>
          <w:tcPr>
            <w:tcW w:w="715" w:type="dxa"/>
            <w:noWrap/>
            <w:vAlign w:val="top"/>
          </w:tcPr>
          <w:p>
            <w:pPr>
              <w:spacing w:line="32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noWrap/>
            <w:vAlign w:val="center"/>
          </w:tcPr>
          <w:p>
            <w:pPr>
              <w:spacing w:line="320" w:lineRule="exact"/>
              <w:jc w:val="center"/>
              <w:rPr>
                <w:rStyle w:val="7"/>
                <w:rFonts w:ascii="黑体" w:hAnsi="黑体" w:eastAsia="黑体" w:cs="宋体"/>
                <w:color w:val="000000"/>
                <w:sz w:val="18"/>
                <w:u w:val="none"/>
              </w:rPr>
            </w:pPr>
          </w:p>
        </w:tc>
        <w:tc>
          <w:tcPr>
            <w:tcW w:w="11970" w:type="dxa"/>
            <w:noWrap/>
            <w:vAlign w:val="center"/>
          </w:tcPr>
          <w:p>
            <w:pPr>
              <w:spacing w:line="320" w:lineRule="exact"/>
              <w:rPr>
                <w:rFonts w:ascii="宋体" w:hAnsi="宋体" w:cs="宋体"/>
                <w:color w:val="000000"/>
                <w:sz w:val="18"/>
                <w:szCs w:val="21"/>
              </w:rPr>
            </w:pPr>
            <w:r>
              <w:rPr>
                <w:rStyle w:val="7"/>
                <w:rFonts w:hint="eastAsia" w:ascii="宋体" w:hAnsi="宋体" w:cs="宋体"/>
                <w:color w:val="000000"/>
                <w:sz w:val="18"/>
                <w:u w:val="none"/>
              </w:rPr>
              <w:t>涉及生命安全、危险性较大的锅炉、压力容器（含气瓶）、压力管道、电梯等，有检验合格许可证并按时完成年检。（如无特种设备，自动得分）</w:t>
            </w:r>
          </w:p>
        </w:tc>
        <w:tc>
          <w:tcPr>
            <w:tcW w:w="732" w:type="dxa"/>
            <w:vMerge w:val="continue"/>
            <w:noWrap/>
            <w:vAlign w:val="center"/>
          </w:tcPr>
          <w:p>
            <w:pPr>
              <w:spacing w:line="320" w:lineRule="exact"/>
              <w:jc w:val="center"/>
              <w:rPr>
                <w:rStyle w:val="7"/>
                <w:rFonts w:ascii="宋体" w:hAnsi="宋体" w:cs="宋体"/>
                <w:color w:val="000000"/>
                <w:sz w:val="18"/>
                <w:u w:val="none"/>
              </w:rPr>
            </w:pPr>
          </w:p>
        </w:tc>
        <w:tc>
          <w:tcPr>
            <w:tcW w:w="715" w:type="dxa"/>
            <w:noWrap/>
            <w:vAlign w:val="top"/>
          </w:tcPr>
          <w:p>
            <w:pPr>
              <w:spacing w:line="320" w:lineRule="exact"/>
              <w:jc w:val="center"/>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restart"/>
            <w:noWrap/>
            <w:vAlign w:val="center"/>
          </w:tcPr>
          <w:p>
            <w:pPr>
              <w:spacing w:line="320" w:lineRule="exact"/>
              <w:jc w:val="center"/>
              <w:rPr>
                <w:rFonts w:ascii="黑体" w:hAnsi="黑体" w:eastAsia="黑体" w:cs="宋体"/>
                <w:color w:val="000000"/>
                <w:sz w:val="18"/>
                <w:szCs w:val="21"/>
              </w:rPr>
            </w:pPr>
            <w:r>
              <w:rPr>
                <w:rFonts w:ascii="黑体" w:hAnsi="黑体" w:eastAsia="黑体" w:cs="宋体"/>
                <w:color w:val="000000"/>
                <w:sz w:val="18"/>
                <w:szCs w:val="21"/>
              </w:rPr>
              <w:t>1.2</w:t>
            </w:r>
          </w:p>
          <w:p>
            <w:pPr>
              <w:spacing w:line="32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人力资源</w:t>
            </w:r>
          </w:p>
          <w:p>
            <w:pPr>
              <w:spacing w:line="320" w:lineRule="exact"/>
              <w:jc w:val="center"/>
              <w:rPr>
                <w:rFonts w:ascii="黑体" w:hAnsi="黑体" w:eastAsia="黑体" w:cs="宋体"/>
                <w:color w:val="000000"/>
                <w:sz w:val="18"/>
                <w:szCs w:val="21"/>
              </w:rPr>
            </w:pPr>
            <w:r>
              <w:rPr>
                <w:rFonts w:ascii="黑体" w:hAnsi="黑体" w:eastAsia="黑体" w:cs="宋体"/>
                <w:color w:val="000000"/>
                <w:sz w:val="18"/>
                <w:szCs w:val="21"/>
              </w:rPr>
              <w:t>2</w:t>
            </w:r>
            <w:r>
              <w:rPr>
                <w:rFonts w:hint="eastAsia" w:ascii="黑体" w:hAnsi="黑体" w:eastAsia="黑体" w:cs="宋体"/>
                <w:color w:val="000000"/>
                <w:sz w:val="18"/>
                <w:szCs w:val="21"/>
              </w:rPr>
              <w:t>5分</w:t>
            </w:r>
          </w:p>
        </w:tc>
        <w:tc>
          <w:tcPr>
            <w:tcW w:w="11970" w:type="dxa"/>
            <w:noWrap/>
            <w:vAlign w:val="center"/>
          </w:tcPr>
          <w:p>
            <w:pPr>
              <w:spacing w:line="320" w:lineRule="exact"/>
              <w:rPr>
                <w:rFonts w:ascii="宋体" w:hAnsi="宋体" w:cs="宋体"/>
                <w:color w:val="000000"/>
                <w:sz w:val="18"/>
                <w:szCs w:val="21"/>
              </w:rPr>
            </w:pPr>
            <w:r>
              <w:rPr>
                <w:rFonts w:hint="eastAsia" w:ascii="宋体"/>
                <w:color w:val="000000"/>
                <w:sz w:val="18"/>
              </w:rPr>
              <w:t>养老护理员符合《养老护理员国家职业标准》相关要求，持证上岗，并接受岗前培训，培训合格率达到100%。护理员与入住老人比例宜为：与自理老年人1：10，与轻度及中度失能老年人1：</w:t>
            </w:r>
            <w:r>
              <w:rPr>
                <w:rFonts w:ascii="宋体"/>
                <w:color w:val="000000"/>
                <w:sz w:val="18"/>
              </w:rPr>
              <w:t>5</w:t>
            </w:r>
            <w:r>
              <w:rPr>
                <w:rFonts w:hint="eastAsia" w:ascii="宋体"/>
                <w:color w:val="000000"/>
                <w:sz w:val="18"/>
              </w:rPr>
              <w:t>，与重度失能老年人1：4。</w:t>
            </w:r>
          </w:p>
        </w:tc>
        <w:tc>
          <w:tcPr>
            <w:tcW w:w="732" w:type="dxa"/>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15" w:type="dxa"/>
            <w:noWrap/>
            <w:vAlign w:val="top"/>
          </w:tcPr>
          <w:p>
            <w:pPr>
              <w:spacing w:line="32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noWrap/>
            <w:vAlign w:val="center"/>
          </w:tcPr>
          <w:p>
            <w:pPr>
              <w:spacing w:line="320" w:lineRule="exact"/>
              <w:jc w:val="center"/>
              <w:rPr>
                <w:rFonts w:ascii="黑体" w:hAnsi="黑体" w:eastAsia="黑体" w:cs="宋体"/>
                <w:color w:val="000000"/>
                <w:sz w:val="18"/>
                <w:szCs w:val="21"/>
              </w:rPr>
            </w:pPr>
          </w:p>
        </w:tc>
        <w:tc>
          <w:tcPr>
            <w:tcW w:w="11970" w:type="dxa"/>
            <w:noWrap/>
            <w:vAlign w:val="center"/>
          </w:tcPr>
          <w:p>
            <w:pPr>
              <w:spacing w:line="320" w:lineRule="exact"/>
              <w:rPr>
                <w:rFonts w:ascii="宋体"/>
                <w:color w:val="000000"/>
                <w:sz w:val="18"/>
              </w:rPr>
            </w:pPr>
            <w:r>
              <w:rPr>
                <w:rFonts w:hint="eastAsia" w:ascii="宋体"/>
                <w:color w:val="000000"/>
                <w:sz w:val="18"/>
              </w:rPr>
              <w:t>机构最高管理层结构合理。其中，大专以上学历的占70％以上，有卫生技术职称或有助理社工师职业资格以上的成员至少l名。</w:t>
            </w:r>
          </w:p>
        </w:tc>
        <w:tc>
          <w:tcPr>
            <w:tcW w:w="732" w:type="dxa"/>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15" w:type="dxa"/>
            <w:noWrap/>
            <w:vAlign w:val="top"/>
          </w:tcPr>
          <w:p>
            <w:pPr>
              <w:spacing w:line="32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noWrap/>
            <w:vAlign w:val="center"/>
          </w:tcPr>
          <w:p>
            <w:pPr>
              <w:spacing w:line="320" w:lineRule="exact"/>
              <w:jc w:val="center"/>
              <w:rPr>
                <w:rFonts w:ascii="黑体" w:hAnsi="黑体" w:eastAsia="黑体" w:cs="宋体"/>
                <w:color w:val="000000"/>
                <w:sz w:val="18"/>
                <w:szCs w:val="21"/>
              </w:rPr>
            </w:pPr>
          </w:p>
        </w:tc>
        <w:tc>
          <w:tcPr>
            <w:tcW w:w="11970" w:type="dxa"/>
            <w:noWrap/>
            <w:vAlign w:val="center"/>
          </w:tcPr>
          <w:p>
            <w:pPr>
              <w:spacing w:line="320" w:lineRule="exact"/>
              <w:rPr>
                <w:rFonts w:ascii="宋体"/>
                <w:color w:val="000000"/>
                <w:sz w:val="18"/>
              </w:rPr>
            </w:pPr>
            <w:r>
              <w:rPr>
                <w:rFonts w:hint="eastAsia" w:ascii="宋体"/>
                <w:color w:val="000000"/>
                <w:sz w:val="18"/>
              </w:rPr>
              <w:t>行政管理人员配置合理。职工人数在50名以上（含50名）的，不超过职工总数的10％；职工人数在50名以下的，不超过15％。</w:t>
            </w:r>
          </w:p>
        </w:tc>
        <w:tc>
          <w:tcPr>
            <w:tcW w:w="732" w:type="dxa"/>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15" w:type="dxa"/>
            <w:noWrap/>
            <w:vAlign w:val="top"/>
          </w:tcPr>
          <w:p>
            <w:pPr>
              <w:spacing w:line="32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noWrap/>
            <w:vAlign w:val="center"/>
          </w:tcPr>
          <w:p>
            <w:pPr>
              <w:spacing w:line="320" w:lineRule="exact"/>
              <w:jc w:val="center"/>
              <w:rPr>
                <w:rFonts w:ascii="黑体" w:hAnsi="黑体" w:eastAsia="黑体" w:cs="宋体"/>
                <w:color w:val="000000"/>
                <w:sz w:val="18"/>
                <w:szCs w:val="21"/>
              </w:rPr>
            </w:pPr>
          </w:p>
        </w:tc>
        <w:tc>
          <w:tcPr>
            <w:tcW w:w="11970" w:type="dxa"/>
            <w:noWrap/>
            <w:vAlign w:val="center"/>
          </w:tcPr>
          <w:p>
            <w:pPr>
              <w:spacing w:line="320" w:lineRule="exact"/>
              <w:rPr>
                <w:rFonts w:ascii="宋体" w:hAnsi="宋体" w:cs="宋体"/>
                <w:color w:val="000000"/>
                <w:sz w:val="18"/>
              </w:rPr>
            </w:pPr>
            <w:r>
              <w:rPr>
                <w:rFonts w:hint="eastAsia" w:ascii="宋体" w:hAnsi="宋体" w:cs="宋体"/>
                <w:color w:val="000000"/>
                <w:sz w:val="18"/>
              </w:rPr>
              <w:t>养老机构应具备经行业主管部门认证或委托其下属机构或委托其他具备资质的机构培训合格的老年人健康管理、老年人护理、老年人痴呆照护、老年人康复训练等专项能力人员及</w:t>
            </w:r>
            <w:r>
              <w:rPr>
                <w:rFonts w:ascii="宋体" w:hAnsi="宋体" w:cs="宋体"/>
                <w:color w:val="000000"/>
                <w:sz w:val="18"/>
              </w:rPr>
              <w:t>社工</w:t>
            </w:r>
            <w:r>
              <w:rPr>
                <w:rFonts w:hint="eastAsia" w:ascii="宋体" w:hAnsi="宋体" w:cs="宋体"/>
                <w:color w:val="000000"/>
                <w:sz w:val="18"/>
              </w:rPr>
              <w:t>（职业鉴定）人员。</w:t>
            </w:r>
          </w:p>
        </w:tc>
        <w:tc>
          <w:tcPr>
            <w:tcW w:w="732" w:type="dxa"/>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15" w:type="dxa"/>
            <w:noWrap/>
            <w:vAlign w:val="top"/>
          </w:tcPr>
          <w:p>
            <w:pPr>
              <w:spacing w:line="32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tcBorders>
              <w:bottom w:val="single" w:color="auto" w:sz="4" w:space="0"/>
            </w:tcBorders>
            <w:noWrap/>
            <w:vAlign w:val="center"/>
          </w:tcPr>
          <w:p>
            <w:pPr>
              <w:spacing w:line="320" w:lineRule="exact"/>
              <w:jc w:val="center"/>
              <w:rPr>
                <w:rFonts w:ascii="黑体" w:hAnsi="黑体" w:eastAsia="黑体" w:cs="宋体"/>
                <w:color w:val="000000"/>
                <w:sz w:val="18"/>
                <w:szCs w:val="21"/>
              </w:rPr>
            </w:pPr>
          </w:p>
        </w:tc>
        <w:tc>
          <w:tcPr>
            <w:tcW w:w="11970" w:type="dxa"/>
            <w:tcBorders>
              <w:bottom w:val="single" w:color="auto" w:sz="4" w:space="0"/>
            </w:tcBorders>
            <w:noWrap/>
            <w:vAlign w:val="center"/>
          </w:tcPr>
          <w:p>
            <w:pPr>
              <w:spacing w:line="320" w:lineRule="exact"/>
              <w:rPr>
                <w:rFonts w:cs="宋体"/>
                <w:color w:val="000000"/>
                <w:sz w:val="18"/>
              </w:rPr>
            </w:pPr>
            <w:r>
              <w:rPr>
                <w:rFonts w:hint="eastAsia" w:cs="宋体"/>
                <w:color w:val="000000"/>
                <w:sz w:val="18"/>
              </w:rPr>
              <w:t>机构建立并落实了内部培训制度，</w:t>
            </w:r>
            <w:r>
              <w:rPr>
                <w:rFonts w:cs="宋体"/>
                <w:color w:val="000000"/>
                <w:sz w:val="18"/>
              </w:rPr>
              <w:t>培训</w:t>
            </w:r>
            <w:r>
              <w:rPr>
                <w:rFonts w:hint="eastAsia" w:cs="宋体"/>
                <w:color w:val="000000"/>
                <w:sz w:val="18"/>
              </w:rPr>
              <w:t>制度应包括不限于是否制定年度护理培训计划、岗前培训制度、定期开展培训和考核等。</w:t>
            </w:r>
          </w:p>
        </w:tc>
        <w:tc>
          <w:tcPr>
            <w:tcW w:w="732" w:type="dxa"/>
            <w:tcBorders>
              <w:bottom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15" w:type="dxa"/>
            <w:tcBorders>
              <w:bottom w:val="single" w:color="auto" w:sz="4" w:space="0"/>
            </w:tcBorders>
            <w:noWrap/>
            <w:vAlign w:val="top"/>
          </w:tcPr>
          <w:p>
            <w:pPr>
              <w:spacing w:line="32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512" w:type="dxa"/>
            <w:vMerge w:val="restart"/>
            <w:tcBorders>
              <w:top w:val="single" w:color="auto" w:sz="4" w:space="0"/>
              <w:left w:val="single" w:color="auto" w:sz="4" w:space="0"/>
              <w:bottom w:val="single" w:color="auto" w:sz="4" w:space="0"/>
              <w:right w:val="single" w:color="auto" w:sz="4" w:space="0"/>
            </w:tcBorders>
            <w:noWrap/>
            <w:vAlign w:val="center"/>
          </w:tcPr>
          <w:p>
            <w:pPr>
              <w:rPr>
                <w:color w:val="000000"/>
                <w:sz w:val="18"/>
              </w:rPr>
            </w:pPr>
            <w:r>
              <w:rPr>
                <w:color w:val="000000"/>
                <w:sz w:val="18"/>
              </w:rPr>
              <w:t>1.3</w:t>
            </w:r>
          </w:p>
          <w:p>
            <w:pPr>
              <w:rPr>
                <w:color w:val="000000"/>
                <w:sz w:val="18"/>
              </w:rPr>
            </w:pPr>
            <w:r>
              <w:rPr>
                <w:rFonts w:hint="eastAsia"/>
                <w:color w:val="000000"/>
                <w:sz w:val="18"/>
              </w:rPr>
              <w:t>卫生环境</w:t>
            </w:r>
          </w:p>
          <w:p>
            <w:pPr>
              <w:rPr>
                <w:color w:val="000000"/>
                <w:sz w:val="18"/>
              </w:rPr>
            </w:pPr>
            <w:r>
              <w:rPr>
                <w:rFonts w:hint="eastAsia"/>
                <w:color w:val="000000"/>
                <w:sz w:val="18"/>
              </w:rPr>
              <w:t>20分</w:t>
            </w:r>
          </w:p>
        </w:tc>
        <w:tc>
          <w:tcPr>
            <w:tcW w:w="11970" w:type="dxa"/>
            <w:tcBorders>
              <w:top w:val="single" w:color="auto" w:sz="4" w:space="0"/>
              <w:left w:val="single" w:color="auto" w:sz="4" w:space="0"/>
              <w:bottom w:val="single" w:color="auto" w:sz="4" w:space="0"/>
              <w:right w:val="single" w:color="auto" w:sz="4" w:space="0"/>
            </w:tcBorders>
            <w:noWrap/>
            <w:vAlign w:val="center"/>
          </w:tcPr>
          <w:p>
            <w:pPr>
              <w:rPr>
                <w:color w:val="000000"/>
                <w:sz w:val="18"/>
              </w:rPr>
            </w:pPr>
            <w:r>
              <w:rPr>
                <w:rFonts w:hint="eastAsia"/>
                <w:color w:val="000000"/>
                <w:sz w:val="18"/>
              </w:rPr>
              <w:t>室内外环境达成无积存垃圾、无卫生死角、无纸屑、无灰尘等，提供舒适、清洁、安全的适老环境。</w:t>
            </w:r>
          </w:p>
        </w:tc>
        <w:tc>
          <w:tcPr>
            <w:tcW w:w="7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 w:val="18"/>
              </w:rPr>
            </w:pPr>
            <w:r>
              <w:rPr>
                <w:rFonts w:hint="eastAsia" w:ascii="宋体" w:hAnsi="宋体"/>
                <w:color w:val="000000"/>
                <w:sz w:val="18"/>
              </w:rPr>
              <w:t xml:space="preserve">  10</w:t>
            </w:r>
          </w:p>
        </w:tc>
        <w:tc>
          <w:tcPr>
            <w:tcW w:w="715" w:type="dxa"/>
            <w:tcBorders>
              <w:top w:val="single" w:color="auto" w:sz="4" w:space="0"/>
              <w:left w:val="single" w:color="auto" w:sz="4" w:space="0"/>
              <w:bottom w:val="single" w:color="auto" w:sz="4" w:space="0"/>
              <w:right w:val="single" w:color="auto" w:sz="4" w:space="0"/>
            </w:tcBorders>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noWrap/>
            <w:vAlign w:val="center"/>
          </w:tcPr>
          <w:p>
            <w:pPr>
              <w:rPr>
                <w:color w:val="000000"/>
                <w:sz w:val="18"/>
              </w:rPr>
            </w:pPr>
          </w:p>
        </w:tc>
        <w:tc>
          <w:tcPr>
            <w:tcW w:w="11970" w:type="dxa"/>
            <w:tcBorders>
              <w:top w:val="single" w:color="auto" w:sz="4" w:space="0"/>
              <w:left w:val="single" w:color="auto" w:sz="4" w:space="0"/>
              <w:bottom w:val="single" w:color="auto" w:sz="4" w:space="0"/>
              <w:right w:val="single" w:color="auto" w:sz="4" w:space="0"/>
            </w:tcBorders>
            <w:noWrap/>
            <w:vAlign w:val="center"/>
          </w:tcPr>
          <w:p>
            <w:pPr>
              <w:rPr>
                <w:color w:val="000000"/>
                <w:sz w:val="18"/>
              </w:rPr>
            </w:pPr>
            <w:r>
              <w:rPr>
                <w:rFonts w:hint="eastAsia"/>
                <w:color w:val="000000"/>
                <w:sz w:val="18"/>
              </w:rPr>
              <w:t>院内绿化达到60%以上。</w:t>
            </w:r>
          </w:p>
        </w:tc>
        <w:tc>
          <w:tcPr>
            <w:tcW w:w="732" w:type="dxa"/>
            <w:tcBorders>
              <w:top w:val="single" w:color="auto" w:sz="4" w:space="0"/>
              <w:left w:val="single" w:color="auto" w:sz="4" w:space="0"/>
              <w:bottom w:val="single" w:color="auto" w:sz="4" w:space="0"/>
              <w:right w:val="single" w:color="auto" w:sz="4" w:space="0"/>
            </w:tcBorders>
            <w:noWrap/>
            <w:vAlign w:val="center"/>
          </w:tcPr>
          <w:p>
            <w:pPr>
              <w:rPr>
                <w:rFonts w:ascii="宋体" w:hAnsi="宋体"/>
                <w:color w:val="000000"/>
                <w:sz w:val="18"/>
              </w:rPr>
            </w:pPr>
            <w:r>
              <w:rPr>
                <w:rFonts w:hint="eastAsia" w:ascii="宋体" w:hAnsi="宋体"/>
                <w:color w:val="000000"/>
                <w:sz w:val="18"/>
              </w:rPr>
              <w:t xml:space="preserve">  10</w:t>
            </w:r>
          </w:p>
        </w:tc>
        <w:tc>
          <w:tcPr>
            <w:tcW w:w="715" w:type="dxa"/>
            <w:tcBorders>
              <w:top w:val="single" w:color="auto" w:sz="4" w:space="0"/>
              <w:left w:val="single" w:color="auto" w:sz="4" w:space="0"/>
              <w:bottom w:val="single" w:color="auto" w:sz="4" w:space="0"/>
              <w:right w:val="single" w:color="auto" w:sz="4" w:space="0"/>
            </w:tcBorders>
            <w:noWrap/>
            <w:vAlign w:val="top"/>
          </w:tcPr>
          <w:p>
            <w:pPr>
              <w:rPr>
                <w:color w:val="000000"/>
                <w:sz w:val="18"/>
              </w:rPr>
            </w:pPr>
          </w:p>
        </w:tc>
      </w:tr>
    </w:tbl>
    <w:p>
      <w:pPr>
        <w:tabs>
          <w:tab w:val="left" w:pos="1021"/>
        </w:tabs>
        <w:jc w:val="left"/>
        <w:rPr>
          <w:rFonts w:cs="黑体"/>
          <w:color w:val="000000"/>
          <w:szCs w:val="21"/>
        </w:rPr>
      </w:pPr>
    </w:p>
    <w:p>
      <w:pPr>
        <w:tabs>
          <w:tab w:val="left" w:pos="1021"/>
        </w:tabs>
        <w:jc w:val="left"/>
        <w:rPr>
          <w:rFonts w:cs="黑体"/>
          <w:color w:val="000000"/>
          <w:szCs w:val="21"/>
        </w:rPr>
      </w:pPr>
    </w:p>
    <w:p>
      <w:pPr>
        <w:tabs>
          <w:tab w:val="left" w:pos="1021"/>
        </w:tabs>
        <w:jc w:val="left"/>
        <w:rPr>
          <w:rFonts w:cs="黑体"/>
          <w:color w:val="000000"/>
          <w:szCs w:val="21"/>
        </w:rPr>
      </w:pPr>
    </w:p>
    <w:p>
      <w:pPr>
        <w:tabs>
          <w:tab w:val="left" w:pos="1021"/>
        </w:tabs>
        <w:jc w:val="left"/>
        <w:rPr>
          <w:rFonts w:cs="黑体"/>
          <w:color w:val="000000"/>
          <w:szCs w:val="21"/>
        </w:rPr>
      </w:pPr>
    </w:p>
    <w:p>
      <w:pPr>
        <w:tabs>
          <w:tab w:val="left" w:pos="1021"/>
        </w:tabs>
        <w:jc w:val="left"/>
        <w:rPr>
          <w:rFonts w:cs="黑体"/>
          <w:color w:val="000000"/>
          <w:szCs w:val="21"/>
        </w:rPr>
      </w:pPr>
    </w:p>
    <w:tbl>
      <w:tblPr>
        <w:tblStyle w:val="4"/>
        <w:tblpPr w:leftFromText="180" w:rightFromText="180" w:vertAnchor="text" w:horzAnchor="page" w:tblpXSpec="center" w:tblpY="98"/>
        <w:tblOverlap w:val="never"/>
        <w:tblW w:w="13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086"/>
        <w:gridCol w:w="770"/>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黑体" w:hAnsi="黑体" w:eastAsia="黑体"/>
                <w:color w:val="000000"/>
                <w:sz w:val="18"/>
                <w:szCs w:val="21"/>
              </w:rPr>
            </w:pPr>
            <w:r>
              <w:rPr>
                <w:rFonts w:ascii="黑体" w:hAnsi="黑体" w:eastAsia="黑体"/>
                <w:color w:val="000000"/>
                <w:sz w:val="18"/>
                <w:szCs w:val="21"/>
              </w:rPr>
              <w:t>1.</w:t>
            </w:r>
            <w:r>
              <w:rPr>
                <w:rFonts w:hint="eastAsia" w:ascii="黑体" w:hAnsi="黑体" w:eastAsia="黑体"/>
                <w:color w:val="000000"/>
                <w:sz w:val="18"/>
                <w:szCs w:val="21"/>
              </w:rPr>
              <w:t>4</w:t>
            </w:r>
          </w:p>
          <w:p>
            <w:pPr>
              <w:spacing w:line="240" w:lineRule="exact"/>
              <w:jc w:val="center"/>
              <w:rPr>
                <w:rFonts w:ascii="黑体" w:hAnsi="黑体" w:eastAsia="黑体"/>
                <w:color w:val="000000"/>
                <w:sz w:val="18"/>
                <w:szCs w:val="21"/>
              </w:rPr>
            </w:pPr>
            <w:r>
              <w:rPr>
                <w:rFonts w:hint="eastAsia" w:ascii="黑体" w:hAnsi="黑体" w:eastAsia="黑体"/>
                <w:color w:val="000000"/>
                <w:sz w:val="18"/>
                <w:szCs w:val="21"/>
              </w:rPr>
              <w:t>急救设施</w:t>
            </w:r>
          </w:p>
          <w:p>
            <w:pPr>
              <w:spacing w:line="240" w:lineRule="exact"/>
              <w:jc w:val="center"/>
              <w:rPr>
                <w:rFonts w:ascii="黑体" w:hAnsi="黑体" w:eastAsia="黑体"/>
                <w:color w:val="000000"/>
                <w:sz w:val="18"/>
                <w:szCs w:val="21"/>
              </w:rPr>
            </w:pPr>
            <w:r>
              <w:rPr>
                <w:rFonts w:hint="eastAsia" w:ascii="黑体" w:hAnsi="黑体" w:eastAsia="黑体"/>
                <w:color w:val="000000"/>
                <w:sz w:val="18"/>
                <w:szCs w:val="21"/>
              </w:rPr>
              <w:t>设备</w:t>
            </w:r>
          </w:p>
          <w:p>
            <w:pPr>
              <w:spacing w:line="240" w:lineRule="exact"/>
              <w:jc w:val="center"/>
              <w:rPr>
                <w:rStyle w:val="7"/>
                <w:rFonts w:ascii="黑体" w:hAnsi="黑体" w:eastAsia="黑体" w:cs="宋体"/>
                <w:color w:val="000000"/>
                <w:sz w:val="18"/>
                <w:u w:val="none"/>
              </w:rPr>
            </w:pPr>
            <w:r>
              <w:rPr>
                <w:rFonts w:hint="eastAsia" w:ascii="黑体" w:hAnsi="黑体" w:eastAsia="黑体"/>
                <w:color w:val="000000"/>
                <w:sz w:val="18"/>
                <w:szCs w:val="21"/>
              </w:rPr>
              <w:t>15分</w:t>
            </w: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color w:val="000000"/>
                <w:sz w:val="18"/>
                <w:szCs w:val="21"/>
              </w:rPr>
              <w:t>急救设施设备是否完好并规范管理。</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Style w:val="7"/>
                <w:rFonts w:ascii="黑体" w:hAnsi="黑体" w:eastAsia="黑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color w:val="000000"/>
                <w:sz w:val="18"/>
                <w:szCs w:val="21"/>
              </w:rPr>
              <w:t>急救物品和药品是否完好、管理规范，医护人员熟练掌握急救药品和物品的使用。</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Style w:val="7"/>
                <w:rFonts w:ascii="黑体" w:hAnsi="黑体" w:eastAsia="黑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color w:val="000000"/>
                <w:sz w:val="18"/>
                <w:szCs w:val="21"/>
              </w:rPr>
              <w:t>紧急呼叫系统是否完好。</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黑体" w:hAnsi="黑体" w:eastAsia="黑体"/>
                <w:color w:val="000000"/>
                <w:sz w:val="18"/>
                <w:szCs w:val="21"/>
              </w:rPr>
            </w:pPr>
            <w:r>
              <w:rPr>
                <w:rFonts w:ascii="黑体" w:hAnsi="黑体" w:eastAsia="黑体"/>
                <w:color w:val="000000"/>
                <w:sz w:val="18"/>
                <w:szCs w:val="21"/>
              </w:rPr>
              <w:t>1.</w:t>
            </w:r>
            <w:r>
              <w:rPr>
                <w:rFonts w:hint="eastAsia" w:ascii="黑体" w:hAnsi="黑体" w:eastAsia="黑体"/>
                <w:color w:val="000000"/>
                <w:sz w:val="18"/>
                <w:szCs w:val="21"/>
              </w:rPr>
              <w:t>5</w:t>
            </w:r>
          </w:p>
          <w:p>
            <w:pPr>
              <w:spacing w:line="240" w:lineRule="exact"/>
              <w:jc w:val="center"/>
              <w:rPr>
                <w:rFonts w:ascii="黑体" w:hAnsi="黑体" w:eastAsia="黑体"/>
                <w:color w:val="000000"/>
                <w:sz w:val="18"/>
                <w:szCs w:val="21"/>
              </w:rPr>
            </w:pPr>
            <w:r>
              <w:rPr>
                <w:rFonts w:hint="eastAsia" w:ascii="黑体" w:hAnsi="黑体" w:eastAsia="黑体"/>
                <w:color w:val="000000"/>
                <w:sz w:val="18"/>
                <w:szCs w:val="21"/>
              </w:rPr>
              <w:t>员工权益</w:t>
            </w:r>
          </w:p>
          <w:p>
            <w:pPr>
              <w:spacing w:line="240" w:lineRule="exact"/>
              <w:jc w:val="center"/>
              <w:rPr>
                <w:rFonts w:ascii="黑体" w:hAnsi="黑体" w:eastAsia="黑体"/>
                <w:color w:val="000000"/>
                <w:sz w:val="18"/>
                <w:szCs w:val="21"/>
              </w:rPr>
            </w:pPr>
            <w:r>
              <w:rPr>
                <w:rFonts w:hint="eastAsia" w:ascii="黑体" w:hAnsi="黑体" w:eastAsia="黑体"/>
                <w:color w:val="000000"/>
                <w:sz w:val="18"/>
                <w:szCs w:val="21"/>
              </w:rPr>
              <w:t>保障</w:t>
            </w:r>
          </w:p>
          <w:p>
            <w:pPr>
              <w:spacing w:line="240" w:lineRule="exact"/>
              <w:jc w:val="center"/>
              <w:rPr>
                <w:rStyle w:val="7"/>
                <w:rFonts w:ascii="黑体" w:hAnsi="黑体" w:eastAsia="黑体" w:cs="宋体"/>
                <w:color w:val="000000"/>
                <w:sz w:val="18"/>
                <w:u w:val="none"/>
              </w:rPr>
            </w:pPr>
            <w:r>
              <w:rPr>
                <w:rFonts w:ascii="黑体" w:hAnsi="黑体" w:eastAsia="黑体"/>
                <w:color w:val="000000"/>
                <w:sz w:val="18"/>
                <w:szCs w:val="21"/>
              </w:rPr>
              <w:t>15</w:t>
            </w:r>
            <w:r>
              <w:rPr>
                <w:rFonts w:hint="eastAsia" w:ascii="黑体" w:hAnsi="黑体" w:eastAsia="黑体"/>
                <w:color w:val="000000"/>
                <w:sz w:val="18"/>
                <w:szCs w:val="21"/>
              </w:rPr>
              <w:t>分</w:t>
            </w: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color w:val="000000"/>
                <w:sz w:val="18"/>
                <w:szCs w:val="21"/>
              </w:rPr>
              <w:t>制定并执行符合《劳动法》《劳动合同法》有关员工薪酬、考核以及劳动保护的相关制度。</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color w:val="000000"/>
                <w:sz w:val="18"/>
                <w:szCs w:val="21"/>
              </w:rPr>
              <w:t>近一年内无发生被处罚的劳动纠纷事件。</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color w:val="000000"/>
                <w:sz w:val="18"/>
                <w:szCs w:val="21"/>
              </w:rPr>
              <w:t>对新进及在职员工每年进行健康体检。</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top w:val="single" w:color="auto" w:sz="4" w:space="0"/>
              <w:left w:val="single" w:color="auto" w:sz="4" w:space="0"/>
              <w:right w:val="single" w:color="auto" w:sz="4" w:space="0"/>
            </w:tcBorders>
            <w:noWrap/>
            <w:vAlign w:val="center"/>
          </w:tcPr>
          <w:p>
            <w:pPr>
              <w:jc w:val="center"/>
              <w:rPr>
                <w:rFonts w:ascii="黑体" w:hAnsi="黑体" w:eastAsia="黑体" w:cs="宋体"/>
                <w:color w:val="000000"/>
                <w:sz w:val="18"/>
                <w:szCs w:val="21"/>
              </w:rPr>
            </w:pPr>
            <w:r>
              <w:rPr>
                <w:rFonts w:ascii="黑体" w:hAnsi="黑体" w:eastAsia="黑体" w:cs="宋体"/>
                <w:color w:val="000000"/>
                <w:sz w:val="18"/>
                <w:szCs w:val="21"/>
              </w:rPr>
              <w:t>1.</w:t>
            </w:r>
            <w:r>
              <w:rPr>
                <w:rFonts w:hint="eastAsia" w:ascii="黑体" w:hAnsi="黑体" w:eastAsia="黑体" w:cs="宋体"/>
                <w:color w:val="000000"/>
                <w:sz w:val="18"/>
                <w:szCs w:val="21"/>
              </w:rPr>
              <w:t>6</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行政管理</w:t>
            </w:r>
          </w:p>
          <w:p>
            <w:pPr>
              <w:jc w:val="center"/>
              <w:rPr>
                <w:rStyle w:val="7"/>
                <w:rFonts w:ascii="宋体" w:hAnsi="宋体" w:cs="宋体"/>
                <w:color w:val="000000"/>
                <w:sz w:val="18"/>
                <w:u w:val="none"/>
              </w:rPr>
            </w:pPr>
            <w:r>
              <w:rPr>
                <w:rFonts w:ascii="黑体" w:hAnsi="黑体" w:eastAsia="黑体" w:cs="宋体"/>
                <w:color w:val="000000"/>
                <w:sz w:val="18"/>
                <w:szCs w:val="21"/>
              </w:rPr>
              <w:t>50</w:t>
            </w:r>
            <w:r>
              <w:rPr>
                <w:rFonts w:hint="eastAsia" w:ascii="黑体" w:hAnsi="黑体" w:eastAsia="黑体" w:cs="宋体"/>
                <w:color w:val="000000"/>
                <w:sz w:val="18"/>
                <w:szCs w:val="21"/>
              </w:rPr>
              <w:t>分</w:t>
            </w: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有介绍本机构情况，说明本机构的服务宗旨、对象、项目、收费及托养者申请加入和退出服务的办法与发表意见的途径，</w:t>
            </w:r>
            <w:r>
              <w:rPr>
                <w:rFonts w:ascii="宋体"/>
                <w:color w:val="000000"/>
                <w:sz w:val="18"/>
              </w:rPr>
              <w:t>以及</w:t>
            </w:r>
            <w:r>
              <w:rPr>
                <w:rFonts w:hint="eastAsia" w:ascii="宋体"/>
                <w:color w:val="000000"/>
                <w:sz w:val="18"/>
              </w:rPr>
              <w:t>投诉处理承诺等。</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有工作人员、管理机构和决策机构的职责说明、工作流程及组织机构图。</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机构制定长期发展规划、</w:t>
            </w:r>
            <w:r>
              <w:rPr>
                <w:rFonts w:ascii="宋体"/>
                <w:color w:val="000000"/>
                <w:sz w:val="18"/>
              </w:rPr>
              <w:t>年度</w:t>
            </w:r>
            <w:r>
              <w:rPr>
                <w:rFonts w:hint="eastAsia" w:ascii="宋体"/>
                <w:color w:val="000000"/>
                <w:sz w:val="18"/>
              </w:rPr>
              <w:t>计划并定期就其实施情况进行分析和总结</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有员工和入住老人花名册。在工作时间内员工是否分类统一着装、佩证上岗。</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有为老年痴呆、智残和患有精神病的老人佩戴写有姓名和联系方式的卡片或标识。</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机构建立并落实老年人满意/不满意信息定期收集、</w:t>
            </w:r>
            <w:r>
              <w:rPr>
                <w:rFonts w:ascii="宋体"/>
                <w:color w:val="000000"/>
                <w:sz w:val="18"/>
              </w:rPr>
              <w:t>分析</w:t>
            </w:r>
            <w:r>
              <w:rPr>
                <w:rFonts w:hint="eastAsia" w:ascii="宋体"/>
                <w:color w:val="000000"/>
                <w:sz w:val="18"/>
              </w:rPr>
              <w:t>及处理的相关制度。</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有建立每周一次行政查房制度，落实率≥90％。</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严格执行财务、审计等规定要求，如财务、</w:t>
            </w:r>
            <w:r>
              <w:rPr>
                <w:rFonts w:ascii="宋体"/>
                <w:color w:val="000000"/>
                <w:sz w:val="18"/>
              </w:rPr>
              <w:t>出纳</w:t>
            </w:r>
            <w:r>
              <w:rPr>
                <w:rFonts w:hint="eastAsia" w:ascii="宋体"/>
                <w:color w:val="000000"/>
                <w:sz w:val="18"/>
              </w:rPr>
              <w:t>不得一人兼任等。</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机构内建立有老人参加的民主管理委员会，</w:t>
            </w:r>
            <w:r>
              <w:rPr>
                <w:rFonts w:ascii="宋体"/>
                <w:color w:val="000000"/>
                <w:sz w:val="18"/>
              </w:rPr>
              <w:t>并</w:t>
            </w:r>
            <w:r>
              <w:rPr>
                <w:rFonts w:hint="eastAsia" w:ascii="宋体"/>
                <w:color w:val="000000"/>
                <w:sz w:val="18"/>
              </w:rPr>
              <w:t>定期开展相关活动。</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bottom w:val="single" w:color="auto" w:sz="4" w:space="0"/>
              <w:right w:val="single" w:color="auto" w:sz="4" w:space="0"/>
            </w:tcBorders>
            <w:noWrap/>
            <w:vAlign w:val="center"/>
          </w:tcPr>
          <w:p>
            <w:pPr>
              <w:jc w:val="center"/>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建立并严格执行有关人事、捐赠等方面规定。</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color w:val="000000"/>
                <w:sz w:val="18"/>
              </w:rPr>
            </w:pPr>
            <w:r>
              <w:rPr>
                <w:rStyle w:val="7"/>
                <w:rFonts w:hint="eastAsia"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restart"/>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r>
              <w:rPr>
                <w:rFonts w:ascii="黑体" w:hAnsi="黑体" w:eastAsia="黑体" w:cs="宋体"/>
                <w:color w:val="000000"/>
                <w:sz w:val="18"/>
                <w:szCs w:val="21"/>
              </w:rPr>
              <w:t>1.</w:t>
            </w:r>
            <w:r>
              <w:rPr>
                <w:rFonts w:hint="eastAsia" w:ascii="黑体" w:hAnsi="黑体" w:eastAsia="黑体" w:cs="宋体"/>
                <w:color w:val="000000"/>
                <w:sz w:val="18"/>
                <w:szCs w:val="21"/>
              </w:rPr>
              <w:t>7</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养医结合</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方式</w:t>
            </w:r>
          </w:p>
          <w:p>
            <w:pPr>
              <w:jc w:val="center"/>
              <w:rPr>
                <w:rStyle w:val="7"/>
                <w:rFonts w:ascii="宋体" w:hAnsi="宋体" w:cs="宋体"/>
                <w:color w:val="000000"/>
                <w:sz w:val="18"/>
                <w:u w:val="none"/>
              </w:rPr>
            </w:pPr>
            <w:r>
              <w:rPr>
                <w:rFonts w:ascii="黑体" w:hAnsi="黑体" w:eastAsia="黑体" w:cs="宋体"/>
                <w:color w:val="000000"/>
                <w:sz w:val="18"/>
                <w:szCs w:val="21"/>
              </w:rPr>
              <w:t>25</w:t>
            </w:r>
            <w:r>
              <w:rPr>
                <w:rFonts w:hint="eastAsia" w:ascii="黑体" w:hAnsi="黑体" w:eastAsia="黑体" w:cs="宋体"/>
                <w:color w:val="000000"/>
                <w:sz w:val="18"/>
                <w:szCs w:val="21"/>
              </w:rPr>
              <w:t>分</w:t>
            </w: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ascii="宋体"/>
                <w:color w:val="000000"/>
                <w:sz w:val="18"/>
              </w:rPr>
              <w:t>养老机构采用下列形式，为入住老年人提供医疗服务：（二选一，不可重复计分）</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top"/>
          </w:tcPr>
          <w:p>
            <w:pPr>
              <w:jc w:val="left"/>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（1）不能自主提供医疗服务的，与周边医院签订长期合作协议，为老年人提供急救急诊、预约就诊、双向转诊、定期巡诊、常规医疗护理以及业务指导等医疗服务。</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1</w:t>
            </w:r>
            <w:r>
              <w:rPr>
                <w:rStyle w:val="7"/>
                <w:rFonts w:ascii="宋体" w:hAnsi="宋体" w:cs="宋体"/>
                <w:color w:val="000000"/>
                <w:sz w:val="18"/>
                <w:u w:val="none"/>
              </w:rPr>
              <w:t>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right w:val="single" w:color="auto" w:sz="4" w:space="0"/>
            </w:tcBorders>
            <w:noWrap/>
            <w:vAlign w:val="top"/>
          </w:tcPr>
          <w:p>
            <w:pPr>
              <w:jc w:val="left"/>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rFonts w:ascii="宋体"/>
                <w:color w:val="000000"/>
                <w:sz w:val="18"/>
              </w:rPr>
            </w:pPr>
            <w:r>
              <w:rPr>
                <w:rFonts w:hint="eastAsia" w:ascii="宋体"/>
                <w:color w:val="000000"/>
                <w:sz w:val="18"/>
              </w:rPr>
              <w:t>（2）养老机构服务区域内设有医疗机构，并提供医疗服务。</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ascii="宋体" w:hAnsi="宋体" w:cs="宋体"/>
                <w:color w:val="000000"/>
                <w:sz w:val="18"/>
                <w:u w:val="none"/>
              </w:rPr>
              <w:t>15</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96" w:type="dxa"/>
            <w:vMerge w:val="continue"/>
            <w:tcBorders>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10086" w:type="dxa"/>
            <w:tcBorders>
              <w:top w:val="single" w:color="auto" w:sz="4" w:space="0"/>
              <w:left w:val="single" w:color="auto" w:sz="4" w:space="0"/>
              <w:bottom w:val="single" w:color="auto" w:sz="4" w:space="0"/>
              <w:right w:val="single" w:color="auto" w:sz="4" w:space="0"/>
            </w:tcBorders>
            <w:noWrap/>
            <w:vAlign w:val="top"/>
          </w:tcPr>
          <w:p>
            <w:pPr>
              <w:spacing w:line="320" w:lineRule="exact"/>
              <w:rPr>
                <w:color w:val="000000"/>
                <w:sz w:val="18"/>
              </w:rPr>
            </w:pPr>
            <w:r>
              <w:rPr>
                <w:rFonts w:hint="eastAsia" w:ascii="宋体"/>
                <w:color w:val="000000"/>
                <w:sz w:val="18"/>
              </w:rPr>
              <w:t>养老机构内设的医疗机构纳入基本医疗保险定点协议管理范围。</w:t>
            </w:r>
          </w:p>
        </w:tc>
        <w:tc>
          <w:tcPr>
            <w:tcW w:w="770" w:type="dxa"/>
            <w:tcBorders>
              <w:top w:val="single" w:color="auto" w:sz="4" w:space="0"/>
              <w:left w:val="single" w:color="auto" w:sz="4" w:space="0"/>
              <w:bottom w:val="single" w:color="auto" w:sz="4" w:space="0"/>
              <w:right w:val="single" w:color="auto" w:sz="4" w:space="0"/>
            </w:tcBorders>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1</w:t>
            </w:r>
            <w:r>
              <w:rPr>
                <w:rStyle w:val="7"/>
                <w:rFonts w:ascii="宋体" w:hAnsi="宋体" w:cs="宋体"/>
                <w:color w:val="000000"/>
                <w:sz w:val="18"/>
                <w:u w:val="none"/>
              </w:rPr>
              <w:t>0</w:t>
            </w:r>
          </w:p>
        </w:tc>
        <w:tc>
          <w:tcPr>
            <w:tcW w:w="769" w:type="dxa"/>
            <w:tcBorders>
              <w:top w:val="single" w:color="auto" w:sz="4" w:space="0"/>
              <w:left w:val="single" w:color="auto" w:sz="4" w:space="0"/>
              <w:bottom w:val="single" w:color="auto" w:sz="4" w:space="0"/>
              <w:right w:val="single" w:color="auto" w:sz="4" w:space="0"/>
            </w:tcBorders>
            <w:noWrap/>
            <w:vAlign w:val="top"/>
          </w:tcPr>
          <w:p>
            <w:pPr>
              <w:spacing w:line="320" w:lineRule="exact"/>
              <w:jc w:val="left"/>
              <w:rPr>
                <w:rStyle w:val="7"/>
                <w:rFonts w:ascii="宋体" w:hAnsi="宋体" w:cs="宋体"/>
                <w:color w:val="000000"/>
                <w:sz w:val="18"/>
                <w:u w:val="none"/>
              </w:rPr>
            </w:pPr>
          </w:p>
        </w:tc>
      </w:tr>
    </w:tbl>
    <w:p>
      <w:pPr>
        <w:tabs>
          <w:tab w:val="left" w:pos="1021"/>
        </w:tabs>
        <w:jc w:val="left"/>
        <w:rPr>
          <w:rFonts w:cs="黑体"/>
          <w:color w:val="000000"/>
          <w:szCs w:val="21"/>
        </w:rPr>
      </w:pPr>
    </w:p>
    <w:tbl>
      <w:tblPr>
        <w:tblStyle w:val="4"/>
        <w:tblW w:w="5018" w:type="pct"/>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
        <w:gridCol w:w="1650"/>
        <w:gridCol w:w="191"/>
        <w:gridCol w:w="10879"/>
        <w:gridCol w:w="171"/>
        <w:gridCol w:w="401"/>
        <w:gridCol w:w="168"/>
        <w:gridCol w:w="404"/>
        <w:gridCol w:w="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restart"/>
            <w:noWrap/>
            <w:vAlign w:val="center"/>
          </w:tcPr>
          <w:p>
            <w:pPr>
              <w:pStyle w:val="8"/>
              <w:ind w:right="14"/>
              <w:jc w:val="center"/>
              <w:rPr>
                <w:b/>
                <w:bCs/>
                <w:color w:val="000000"/>
                <w:lang w:eastAsia="zh-CN"/>
              </w:rPr>
            </w:pPr>
            <w:bookmarkStart w:id="0" w:name="Sheet1"/>
            <w:bookmarkEnd w:id="0"/>
            <w:r>
              <w:rPr>
                <w:rFonts w:hint="eastAsia"/>
                <w:b/>
                <w:bCs/>
                <w:color w:val="000000"/>
                <w:lang w:eastAsia="zh-CN"/>
              </w:rPr>
              <w:t>1.8 设施设备</w:t>
            </w:r>
          </w:p>
          <w:p>
            <w:pPr>
              <w:pStyle w:val="8"/>
              <w:ind w:right="14"/>
              <w:jc w:val="center"/>
              <w:rPr>
                <w:b/>
                <w:bCs/>
                <w:color w:val="000000"/>
                <w:lang w:eastAsia="zh-CN"/>
              </w:rPr>
            </w:pPr>
            <w:r>
              <w:rPr>
                <w:rFonts w:hint="eastAsia"/>
                <w:b/>
                <w:bCs/>
                <w:color w:val="000000"/>
                <w:lang w:eastAsia="zh-CN"/>
              </w:rPr>
              <w:t>100分</w:t>
            </w:r>
          </w:p>
          <w:p>
            <w:pPr>
              <w:pStyle w:val="8"/>
              <w:ind w:right="14"/>
              <w:jc w:val="center"/>
              <w:rPr>
                <w:rFonts w:ascii="黑体" w:hAnsi="黑体" w:eastAsia="黑体"/>
                <w:color w:val="000000"/>
                <w:sz w:val="21"/>
                <w:szCs w:val="21"/>
                <w:lang w:eastAsia="zh-CN"/>
              </w:rPr>
            </w:pPr>
            <w:r>
              <w:rPr>
                <w:rFonts w:ascii="黑体" w:hAnsi="黑体" w:eastAsia="黑体"/>
                <w:color w:val="000000"/>
                <w:sz w:val="21"/>
                <w:szCs w:val="21"/>
                <w:lang w:eastAsia="zh-CN"/>
              </w:rPr>
              <w:t>否定项</w:t>
            </w:r>
          </w:p>
          <w:p>
            <w:pPr>
              <w:pStyle w:val="8"/>
              <w:ind w:right="-105"/>
              <w:jc w:val="center"/>
              <w:rPr>
                <w:color w:val="000000"/>
                <w:sz w:val="18"/>
                <w:lang w:eastAsia="zh-CN"/>
              </w:rPr>
            </w:pPr>
            <w:r>
              <w:rPr>
                <w:rFonts w:hint="eastAsia"/>
                <w:color w:val="000000"/>
                <w:sz w:val="18"/>
                <w:lang w:eastAsia="zh-CN"/>
              </w:rPr>
              <w:t>（</w:t>
            </w:r>
            <w:r>
              <w:rPr>
                <w:color w:val="000000"/>
                <w:sz w:val="18"/>
                <w:lang w:eastAsia="zh-CN"/>
              </w:rPr>
              <w:t>养老机构有任何一项不满足，则设施设备条款不得分</w:t>
            </w:r>
            <w:r>
              <w:rPr>
                <w:rFonts w:hint="eastAsia"/>
                <w:color w:val="000000"/>
                <w:sz w:val="18"/>
                <w:lang w:eastAsia="zh-CN"/>
              </w:rPr>
              <w:t>）</w:t>
            </w:r>
          </w:p>
        </w:tc>
        <w:tc>
          <w:tcPr>
            <w:tcW w:w="3884" w:type="pct"/>
            <w:gridSpan w:val="2"/>
            <w:tcBorders>
              <w:bottom w:val="single" w:color="auto" w:sz="4" w:space="0"/>
            </w:tcBorders>
            <w:noWrap/>
            <w:vAlign w:val="center"/>
          </w:tcPr>
          <w:p>
            <w:pPr>
              <w:pStyle w:val="8"/>
              <w:spacing w:line="340" w:lineRule="exact"/>
              <w:ind w:right="97"/>
              <w:rPr>
                <w:color w:val="000000"/>
                <w:kern w:val="2"/>
                <w:sz w:val="18"/>
                <w:szCs w:val="18"/>
                <w:lang w:eastAsia="zh-CN"/>
              </w:rPr>
            </w:pPr>
            <w:r>
              <w:rPr>
                <w:rFonts w:hint="eastAsia"/>
                <w:color w:val="000000"/>
                <w:kern w:val="2"/>
                <w:sz w:val="18"/>
                <w:szCs w:val="18"/>
                <w:lang w:eastAsia="zh-CN"/>
              </w:rPr>
              <w:t>老年人居住建筑严禁采用螺旋楼梯或弧线楼梯。</w:t>
            </w:r>
          </w:p>
        </w:tc>
        <w:tc>
          <w:tcPr>
            <w:tcW w:w="200" w:type="pct"/>
            <w:gridSpan w:val="2"/>
            <w:vMerge w:val="restart"/>
            <w:noWrap/>
            <w:vAlign w:val="top"/>
          </w:tcPr>
          <w:p>
            <w:pPr>
              <w:jc w:val="center"/>
              <w:rPr>
                <w:color w:val="000000"/>
                <w:sz w:val="18"/>
              </w:rPr>
            </w:pP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pStyle w:val="8"/>
              <w:spacing w:line="340" w:lineRule="exact"/>
              <w:ind w:right="97"/>
              <w:rPr>
                <w:color w:val="000000"/>
                <w:kern w:val="2"/>
                <w:sz w:val="18"/>
                <w:szCs w:val="18"/>
                <w:lang w:eastAsia="zh-CN"/>
              </w:rPr>
            </w:pPr>
            <w:r>
              <w:rPr>
                <w:rFonts w:hint="eastAsia"/>
                <w:color w:val="000000"/>
                <w:kern w:val="2"/>
                <w:sz w:val="18"/>
                <w:szCs w:val="18"/>
                <w:lang w:eastAsia="zh-CN"/>
              </w:rPr>
              <w:t>老年人可触及的散热设备及供暖管道、配件等，必须有防止烫伤和碰伤的保护措施。</w:t>
            </w:r>
          </w:p>
        </w:tc>
        <w:tc>
          <w:tcPr>
            <w:tcW w:w="200" w:type="pct"/>
            <w:gridSpan w:val="2"/>
            <w:vMerge w:val="continue"/>
            <w:noWrap/>
            <w:vAlign w:val="top"/>
          </w:tcPr>
          <w:p>
            <w:pPr>
              <w:jc w:val="center"/>
              <w:rPr>
                <w:color w:val="000000"/>
                <w:sz w:val="18"/>
              </w:rPr>
            </w:pP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pStyle w:val="8"/>
              <w:spacing w:line="340" w:lineRule="exact"/>
              <w:ind w:right="-110"/>
              <w:rPr>
                <w:color w:val="000000"/>
                <w:kern w:val="2"/>
                <w:sz w:val="18"/>
                <w:szCs w:val="18"/>
                <w:lang w:eastAsia="zh-CN"/>
              </w:rPr>
            </w:pPr>
            <w:r>
              <w:rPr>
                <w:rFonts w:hint="eastAsia"/>
                <w:color w:val="000000"/>
                <w:kern w:val="2"/>
                <w:sz w:val="18"/>
                <w:szCs w:val="18"/>
                <w:lang w:eastAsia="zh-CN"/>
              </w:rPr>
              <w:t>建筑内设有老年人用房的各楼层垂直交通：二层及以上楼层设置老年人用房时应设电梯、升降平台、采用轮椅坡道或楼梯升降机（爬楼机）；当机构为单层建筑（或老年人用房均设在一层）时自动满足该条件。</w:t>
            </w:r>
          </w:p>
        </w:tc>
        <w:tc>
          <w:tcPr>
            <w:tcW w:w="200" w:type="pct"/>
            <w:gridSpan w:val="2"/>
            <w:vMerge w:val="continue"/>
            <w:noWrap/>
            <w:vAlign w:val="top"/>
          </w:tcPr>
          <w:p>
            <w:pPr>
              <w:jc w:val="center"/>
              <w:rPr>
                <w:color w:val="000000"/>
                <w:sz w:val="18"/>
              </w:rPr>
            </w:pP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pStyle w:val="8"/>
              <w:spacing w:line="340" w:lineRule="exact"/>
              <w:ind w:right="97"/>
              <w:rPr>
                <w:color w:val="000000"/>
                <w:kern w:val="2"/>
                <w:sz w:val="18"/>
                <w:szCs w:val="18"/>
                <w:lang w:eastAsia="zh-CN"/>
              </w:rPr>
            </w:pPr>
            <w:r>
              <w:rPr>
                <w:rFonts w:hint="eastAsia"/>
                <w:color w:val="000000"/>
                <w:kern w:val="2"/>
                <w:sz w:val="18"/>
                <w:szCs w:val="18"/>
                <w:lang w:eastAsia="zh-CN"/>
              </w:rPr>
              <w:t>总平面道路系统应保证救护车辆能停靠在建筑物的主要出入口处。</w:t>
            </w:r>
          </w:p>
        </w:tc>
        <w:tc>
          <w:tcPr>
            <w:tcW w:w="200" w:type="pct"/>
            <w:gridSpan w:val="2"/>
            <w:vMerge w:val="continue"/>
            <w:noWrap/>
            <w:vAlign w:val="top"/>
          </w:tcPr>
          <w:p>
            <w:pPr>
              <w:jc w:val="center"/>
              <w:rPr>
                <w:color w:val="000000"/>
                <w:sz w:val="18"/>
              </w:rPr>
            </w:pP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pStyle w:val="8"/>
              <w:spacing w:line="340" w:lineRule="exact"/>
              <w:ind w:right="97"/>
              <w:rPr>
                <w:color w:val="000000"/>
                <w:kern w:val="2"/>
                <w:sz w:val="18"/>
                <w:szCs w:val="18"/>
                <w:lang w:eastAsia="zh-CN"/>
              </w:rPr>
            </w:pPr>
            <w:r>
              <w:rPr>
                <w:rFonts w:hint="eastAsia"/>
                <w:color w:val="000000"/>
                <w:kern w:val="2"/>
                <w:sz w:val="18"/>
                <w:szCs w:val="18"/>
                <w:lang w:eastAsia="zh-CN"/>
              </w:rPr>
              <w:t>老年人生活用房不应设置在地下、半地下。</w:t>
            </w:r>
          </w:p>
        </w:tc>
        <w:tc>
          <w:tcPr>
            <w:tcW w:w="200" w:type="pct"/>
            <w:gridSpan w:val="2"/>
            <w:vMerge w:val="continue"/>
            <w:noWrap/>
            <w:vAlign w:val="top"/>
          </w:tcPr>
          <w:p>
            <w:pPr>
              <w:jc w:val="center"/>
              <w:rPr>
                <w:color w:val="000000"/>
                <w:sz w:val="18"/>
              </w:rPr>
            </w:pP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pStyle w:val="8"/>
              <w:spacing w:line="340" w:lineRule="exact"/>
              <w:ind w:right="97"/>
              <w:rPr>
                <w:color w:val="000000"/>
                <w:kern w:val="2"/>
                <w:sz w:val="18"/>
                <w:szCs w:val="18"/>
                <w:lang w:eastAsia="zh-CN"/>
              </w:rPr>
            </w:pPr>
            <w:r>
              <w:rPr>
                <w:rFonts w:hint="eastAsia"/>
                <w:color w:val="000000"/>
                <w:kern w:val="2"/>
                <w:sz w:val="18"/>
                <w:szCs w:val="18"/>
                <w:lang w:eastAsia="zh-CN"/>
              </w:rPr>
              <w:t>老年人居室不应与电梯井道、有噪音震动的设备机房等邻近布置。</w:t>
            </w:r>
          </w:p>
        </w:tc>
        <w:tc>
          <w:tcPr>
            <w:tcW w:w="200" w:type="pct"/>
            <w:gridSpan w:val="2"/>
            <w:vMerge w:val="continue"/>
            <w:noWrap/>
            <w:vAlign w:val="top"/>
          </w:tcPr>
          <w:p>
            <w:pPr>
              <w:jc w:val="center"/>
              <w:rPr>
                <w:color w:val="000000"/>
                <w:sz w:val="18"/>
              </w:rPr>
            </w:pP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pStyle w:val="8"/>
              <w:spacing w:line="340" w:lineRule="exact"/>
              <w:ind w:right="97"/>
              <w:rPr>
                <w:color w:val="000000"/>
                <w:kern w:val="2"/>
                <w:sz w:val="18"/>
                <w:szCs w:val="18"/>
                <w:lang w:eastAsia="zh-CN"/>
              </w:rPr>
            </w:pPr>
            <w:r>
              <w:rPr>
                <w:rFonts w:hint="eastAsia"/>
                <w:color w:val="000000"/>
                <w:kern w:val="2"/>
                <w:sz w:val="18"/>
                <w:szCs w:val="18"/>
                <w:lang w:eastAsia="zh-CN"/>
              </w:rPr>
              <w:t>每间居室的使用面积应满足不小于6㎡/床的配建指标。</w:t>
            </w:r>
          </w:p>
        </w:tc>
        <w:tc>
          <w:tcPr>
            <w:tcW w:w="200" w:type="pct"/>
            <w:gridSpan w:val="2"/>
            <w:vMerge w:val="continue"/>
            <w:noWrap/>
            <w:vAlign w:val="top"/>
          </w:tcPr>
          <w:p>
            <w:pPr>
              <w:jc w:val="center"/>
              <w:rPr>
                <w:color w:val="000000"/>
                <w:sz w:val="18"/>
              </w:rPr>
            </w:pP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restart"/>
            <w:noWrap/>
            <w:vAlign w:val="center"/>
          </w:tcPr>
          <w:p>
            <w:pPr>
              <w:jc w:val="center"/>
              <w:rPr>
                <w:color w:val="000000"/>
                <w:sz w:val="18"/>
              </w:rPr>
            </w:pPr>
            <w:r>
              <w:rPr>
                <w:rFonts w:hint="eastAsia"/>
                <w:color w:val="000000"/>
                <w:sz w:val="18"/>
              </w:rPr>
              <w:t>1.8.1</w:t>
            </w:r>
          </w:p>
          <w:p>
            <w:pPr>
              <w:jc w:val="center"/>
              <w:rPr>
                <w:rFonts w:ascii="黑体" w:hAnsi="黑体" w:eastAsia="黑体"/>
                <w:color w:val="000000"/>
                <w:sz w:val="18"/>
              </w:rPr>
            </w:pPr>
            <w:r>
              <w:rPr>
                <w:rFonts w:hint="eastAsia" w:ascii="黑体" w:hAnsi="黑体" w:eastAsia="黑体"/>
                <w:color w:val="000000"/>
                <w:sz w:val="18"/>
              </w:rPr>
              <w:t>建筑规划、流线设计</w:t>
            </w:r>
          </w:p>
          <w:p>
            <w:pPr>
              <w:ind w:firstLine="90" w:firstLineChars="50"/>
              <w:jc w:val="center"/>
              <w:rPr>
                <w:color w:val="000000"/>
                <w:sz w:val="18"/>
              </w:rPr>
            </w:pPr>
            <w:r>
              <w:rPr>
                <w:rFonts w:hint="eastAsia" w:ascii="黑体" w:hAnsi="黑体" w:eastAsia="黑体"/>
                <w:color w:val="000000"/>
                <w:sz w:val="18"/>
              </w:rPr>
              <w:t>10分</w:t>
            </w:r>
          </w:p>
        </w:tc>
        <w:tc>
          <w:tcPr>
            <w:tcW w:w="3884" w:type="pct"/>
            <w:gridSpan w:val="2"/>
            <w:noWrap/>
            <w:vAlign w:val="center"/>
          </w:tcPr>
          <w:p>
            <w:pPr>
              <w:spacing w:line="340" w:lineRule="exact"/>
              <w:rPr>
                <w:color w:val="000000"/>
                <w:sz w:val="18"/>
                <w:szCs w:val="21"/>
              </w:rPr>
            </w:pPr>
            <w:r>
              <w:rPr>
                <w:rFonts w:hint="eastAsia"/>
                <w:color w:val="000000"/>
                <w:sz w:val="18"/>
                <w:szCs w:val="21"/>
              </w:rPr>
              <w:t>与其它建筑合建的老年人照料设施应位于独立的建筑分区内，且有独立的交通系统和对外出入口。</w:t>
            </w:r>
          </w:p>
        </w:tc>
        <w:tc>
          <w:tcPr>
            <w:tcW w:w="200" w:type="pct"/>
            <w:gridSpan w:val="2"/>
            <w:noWrap/>
            <w:vAlign w:val="center"/>
          </w:tcPr>
          <w:p>
            <w:pPr>
              <w:jc w:val="center"/>
              <w:rPr>
                <w:rFonts w:ascii="宋体" w:hAnsi="宋体"/>
                <w:color w:val="000000"/>
                <w:sz w:val="18"/>
              </w:rPr>
            </w:pPr>
            <w:r>
              <w:rPr>
                <w:rFonts w:hint="eastAsia" w:ascii="宋体" w:hAnsi="宋体"/>
                <w:color w:val="000000"/>
                <w:sz w:val="18"/>
              </w:rPr>
              <w:t>2</w:t>
            </w: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spacing w:line="340" w:lineRule="exact"/>
              <w:rPr>
                <w:color w:val="000000"/>
                <w:sz w:val="18"/>
                <w:szCs w:val="21"/>
              </w:rPr>
            </w:pPr>
            <w:r>
              <w:rPr>
                <w:rFonts w:hint="eastAsia"/>
                <w:color w:val="000000"/>
                <w:sz w:val="18"/>
                <w:szCs w:val="21"/>
              </w:rPr>
              <w:t>老年人照料设施道路系统设计宜人车分流。机动车道路应设置限速行驶标识和路面减速设施。机动车停车场距建筑物主要出入口最近的位置上应设置无障碍停车位或无障碍停车下客点，无障碍停车位或停车下客点应有明显的标志。</w:t>
            </w:r>
          </w:p>
        </w:tc>
        <w:tc>
          <w:tcPr>
            <w:tcW w:w="200" w:type="pct"/>
            <w:gridSpan w:val="2"/>
            <w:noWrap/>
            <w:vAlign w:val="center"/>
          </w:tcPr>
          <w:p>
            <w:pPr>
              <w:jc w:val="center"/>
              <w:rPr>
                <w:rFonts w:ascii="宋体" w:hAnsi="宋体"/>
                <w:color w:val="000000"/>
                <w:sz w:val="18"/>
              </w:rPr>
            </w:pPr>
            <w:r>
              <w:rPr>
                <w:rFonts w:hint="eastAsia" w:ascii="宋体" w:hAnsi="宋体"/>
                <w:color w:val="000000"/>
                <w:sz w:val="18"/>
              </w:rPr>
              <w:t>3</w:t>
            </w: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spacing w:line="340" w:lineRule="exact"/>
              <w:rPr>
                <w:color w:val="000000"/>
                <w:sz w:val="18"/>
                <w:szCs w:val="21"/>
              </w:rPr>
            </w:pPr>
            <w:r>
              <w:rPr>
                <w:rFonts w:hint="eastAsia"/>
                <w:color w:val="000000"/>
                <w:sz w:val="18"/>
                <w:szCs w:val="21"/>
              </w:rPr>
              <w:t>全部老年人用房与救护车辆停靠的建筑物出入口之间均应明确规划出紧急送医通道，应确保紧急送医通道的连续、便捷、畅通。遗体运出的通道不应穿越老年人日常活动区域。</w:t>
            </w:r>
          </w:p>
        </w:tc>
        <w:tc>
          <w:tcPr>
            <w:tcW w:w="200" w:type="pct"/>
            <w:gridSpan w:val="2"/>
            <w:noWrap/>
            <w:vAlign w:val="center"/>
          </w:tcPr>
          <w:p>
            <w:pPr>
              <w:jc w:val="center"/>
              <w:rPr>
                <w:rFonts w:ascii="宋体" w:hAnsi="宋体"/>
                <w:color w:val="000000"/>
                <w:sz w:val="18"/>
              </w:rPr>
            </w:pPr>
            <w:r>
              <w:rPr>
                <w:rFonts w:hint="eastAsia" w:ascii="宋体" w:hAnsi="宋体"/>
                <w:color w:val="000000"/>
                <w:sz w:val="18"/>
              </w:rPr>
              <w:t>3</w:t>
            </w: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center"/>
          </w:tcPr>
          <w:p>
            <w:pPr>
              <w:jc w:val="center"/>
              <w:rPr>
                <w:color w:val="000000"/>
                <w:sz w:val="18"/>
              </w:rPr>
            </w:pPr>
          </w:p>
        </w:tc>
        <w:tc>
          <w:tcPr>
            <w:tcW w:w="3884" w:type="pct"/>
            <w:gridSpan w:val="2"/>
            <w:noWrap/>
            <w:vAlign w:val="center"/>
          </w:tcPr>
          <w:p>
            <w:pPr>
              <w:spacing w:line="340" w:lineRule="exact"/>
              <w:rPr>
                <w:color w:val="000000"/>
                <w:sz w:val="18"/>
                <w:szCs w:val="21"/>
              </w:rPr>
            </w:pPr>
            <w:r>
              <w:rPr>
                <w:rFonts w:hint="eastAsia"/>
                <w:color w:val="000000"/>
                <w:sz w:val="18"/>
                <w:szCs w:val="21"/>
              </w:rPr>
              <w:t>建筑物及场地内的物品运送应洁污分流，且运送垃圾废物、换洗被服等污物的流线不应穿越食品存放、加工区域及老年人用餐区域。</w:t>
            </w:r>
          </w:p>
        </w:tc>
        <w:tc>
          <w:tcPr>
            <w:tcW w:w="200" w:type="pct"/>
            <w:gridSpan w:val="2"/>
            <w:noWrap/>
            <w:vAlign w:val="center"/>
          </w:tcPr>
          <w:p>
            <w:pPr>
              <w:jc w:val="center"/>
              <w:rPr>
                <w:rFonts w:ascii="宋体" w:hAnsi="宋体"/>
                <w:color w:val="000000"/>
                <w:sz w:val="18"/>
              </w:rPr>
            </w:pPr>
            <w:r>
              <w:rPr>
                <w:rFonts w:hint="eastAsia" w:ascii="宋体" w:hAnsi="宋体"/>
                <w:color w:val="000000"/>
                <w:sz w:val="18"/>
              </w:rPr>
              <w:t>2</w:t>
            </w: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restart"/>
            <w:noWrap/>
            <w:vAlign w:val="center"/>
          </w:tcPr>
          <w:p>
            <w:pPr>
              <w:jc w:val="center"/>
              <w:rPr>
                <w:color w:val="000000"/>
                <w:sz w:val="18"/>
              </w:rPr>
            </w:pPr>
            <w:r>
              <w:rPr>
                <w:rStyle w:val="7"/>
                <w:rFonts w:hint="eastAsia" w:ascii="黑体" w:hAnsi="黑体" w:eastAsia="黑体"/>
                <w:color w:val="000000"/>
                <w:sz w:val="18"/>
                <w:u w:val="none"/>
              </w:rPr>
              <w:t>1.8.2</w:t>
            </w:r>
          </w:p>
          <w:p>
            <w:pPr>
              <w:spacing w:line="36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无障碍设计</w:t>
            </w:r>
          </w:p>
          <w:p>
            <w:pPr>
              <w:jc w:val="center"/>
              <w:rPr>
                <w:color w:val="000000"/>
                <w:sz w:val="18"/>
              </w:rPr>
            </w:pPr>
            <w:r>
              <w:rPr>
                <w:rFonts w:hint="eastAsia" w:ascii="黑体" w:hAnsi="黑体" w:eastAsia="黑体" w:cs="宋体"/>
                <w:color w:val="000000"/>
                <w:sz w:val="18"/>
                <w:szCs w:val="21"/>
              </w:rPr>
              <w:t>10分</w:t>
            </w:r>
          </w:p>
        </w:tc>
        <w:tc>
          <w:tcPr>
            <w:tcW w:w="3884" w:type="pct"/>
            <w:gridSpan w:val="2"/>
            <w:noWrap/>
            <w:vAlign w:val="top"/>
          </w:tcPr>
          <w:p>
            <w:pPr>
              <w:widowControl/>
              <w:spacing w:line="340" w:lineRule="exact"/>
              <w:rPr>
                <w:rFonts w:ascii="宋体" w:hAnsi="宋体"/>
                <w:color w:val="000000"/>
                <w:sz w:val="18"/>
                <w:szCs w:val="21"/>
              </w:rPr>
            </w:pPr>
            <w:r>
              <w:rPr>
                <w:rFonts w:hint="eastAsia" w:ascii="宋体" w:hAnsi="宋体"/>
                <w:color w:val="000000"/>
                <w:sz w:val="18"/>
                <w:szCs w:val="21"/>
              </w:rPr>
              <w:t>老年人照料设施供老年人使用的场地及老年人用房均应进行无障碍设计，经过无障碍设计的场地和建筑空间均应满足轮椅进入。无障碍设施的地面应达到国家防滑等级及防滑安全程度。</w:t>
            </w:r>
          </w:p>
        </w:tc>
        <w:tc>
          <w:tcPr>
            <w:tcW w:w="200" w:type="pct"/>
            <w:gridSpan w:val="2"/>
            <w:noWrap/>
            <w:vAlign w:val="center"/>
          </w:tcPr>
          <w:p>
            <w:pPr>
              <w:jc w:val="center"/>
              <w:rPr>
                <w:rFonts w:ascii="宋体" w:hAnsi="宋体"/>
                <w:color w:val="000000"/>
                <w:sz w:val="18"/>
              </w:rPr>
            </w:pPr>
            <w:r>
              <w:rPr>
                <w:rFonts w:hint="eastAsia" w:ascii="宋体" w:hAnsi="宋体"/>
                <w:color w:val="000000"/>
                <w:sz w:val="18"/>
              </w:rPr>
              <w:t>4</w:t>
            </w: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top"/>
          </w:tcPr>
          <w:p>
            <w:pPr>
              <w:rPr>
                <w:color w:val="000000"/>
                <w:sz w:val="18"/>
              </w:rPr>
            </w:pPr>
          </w:p>
        </w:tc>
        <w:tc>
          <w:tcPr>
            <w:tcW w:w="3884" w:type="pct"/>
            <w:gridSpan w:val="2"/>
            <w:noWrap/>
            <w:vAlign w:val="top"/>
          </w:tcPr>
          <w:p>
            <w:pPr>
              <w:widowControl/>
              <w:spacing w:line="340" w:lineRule="exact"/>
              <w:rPr>
                <w:rFonts w:ascii="宋体" w:hAnsi="宋体"/>
                <w:color w:val="000000"/>
                <w:sz w:val="18"/>
                <w:szCs w:val="21"/>
              </w:rPr>
            </w:pPr>
            <w:r>
              <w:rPr>
                <w:rFonts w:hint="eastAsia" w:ascii="宋体" w:hAnsi="宋体"/>
                <w:color w:val="000000"/>
                <w:sz w:val="18"/>
                <w:szCs w:val="21"/>
              </w:rPr>
              <w:t>老年人使用的室外交通空间，当地面有高差时，应设轮椅坡道连接。交通空间的主要位置两侧应设连续扶手，并应符合下列要求：1、扶手的材质宜选用防滑、热惰性指标好的材料，扶手直径为30～45mm；2、扶手高度应为0.85m～0.90m，设置双层扶手时，下层扶手高度宜为0.65～0.70m，扶手临墙侧到墙面净距不宜少于40mm。</w:t>
            </w:r>
          </w:p>
        </w:tc>
        <w:tc>
          <w:tcPr>
            <w:tcW w:w="200" w:type="pct"/>
            <w:gridSpan w:val="2"/>
            <w:noWrap/>
            <w:vAlign w:val="center"/>
          </w:tcPr>
          <w:p>
            <w:pPr>
              <w:jc w:val="center"/>
              <w:rPr>
                <w:rFonts w:ascii="宋体" w:hAnsi="宋体"/>
                <w:color w:val="000000"/>
                <w:sz w:val="18"/>
              </w:rPr>
            </w:pPr>
            <w:r>
              <w:rPr>
                <w:rFonts w:hint="eastAsia" w:ascii="宋体" w:hAnsi="宋体"/>
                <w:color w:val="000000"/>
                <w:sz w:val="18"/>
              </w:rPr>
              <w:t>3</w:t>
            </w: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3" w:hRule="atLeast"/>
        </w:trPr>
        <w:tc>
          <w:tcPr>
            <w:tcW w:w="647" w:type="pct"/>
            <w:gridSpan w:val="2"/>
            <w:vMerge w:val="continue"/>
            <w:noWrap/>
            <w:vAlign w:val="top"/>
          </w:tcPr>
          <w:p>
            <w:pPr>
              <w:rPr>
                <w:color w:val="000000"/>
                <w:sz w:val="18"/>
              </w:rPr>
            </w:pPr>
          </w:p>
        </w:tc>
        <w:tc>
          <w:tcPr>
            <w:tcW w:w="3884" w:type="pct"/>
            <w:gridSpan w:val="2"/>
            <w:noWrap/>
            <w:vAlign w:val="center"/>
          </w:tcPr>
          <w:p>
            <w:pPr>
              <w:widowControl/>
              <w:spacing w:line="340" w:lineRule="exact"/>
              <w:rPr>
                <w:rFonts w:ascii="宋体" w:hAnsi="宋体"/>
                <w:color w:val="000000"/>
                <w:sz w:val="18"/>
                <w:szCs w:val="21"/>
              </w:rPr>
            </w:pPr>
            <w:r>
              <w:rPr>
                <w:rFonts w:hint="eastAsia" w:ascii="宋体" w:hAnsi="宋体"/>
                <w:color w:val="000000"/>
                <w:sz w:val="18"/>
                <w:szCs w:val="21"/>
              </w:rPr>
              <w:t>卫生间、盥洗室、浴室，以及其他用房中供老年人使用的盥洗设施，应选用方便无障碍使用的洁具：坐便器高度不应低于0.4</w:t>
            </w:r>
            <w:r>
              <w:rPr>
                <w:rFonts w:ascii="宋体" w:hAnsi="宋体"/>
                <w:color w:val="000000"/>
                <w:sz w:val="18"/>
                <w:szCs w:val="21"/>
              </w:rPr>
              <w:t>0</w:t>
            </w:r>
            <w:r>
              <w:rPr>
                <w:rFonts w:hint="eastAsia" w:ascii="宋体" w:hAnsi="宋体"/>
                <w:color w:val="000000"/>
                <w:sz w:val="18"/>
                <w:szCs w:val="21"/>
              </w:rPr>
              <w:t>m；浴盆外缘高度不宜高于0.45m，其一端宜设可坐平台。</w:t>
            </w:r>
          </w:p>
        </w:tc>
        <w:tc>
          <w:tcPr>
            <w:tcW w:w="200" w:type="pct"/>
            <w:gridSpan w:val="2"/>
            <w:noWrap/>
            <w:vAlign w:val="center"/>
          </w:tcPr>
          <w:p>
            <w:pPr>
              <w:jc w:val="center"/>
              <w:rPr>
                <w:rFonts w:ascii="宋体" w:hAnsi="宋体"/>
                <w:color w:val="000000"/>
                <w:sz w:val="18"/>
              </w:rPr>
            </w:pPr>
            <w:r>
              <w:rPr>
                <w:rFonts w:hint="eastAsia" w:ascii="宋体" w:hAnsi="宋体"/>
                <w:color w:val="000000"/>
                <w:sz w:val="18"/>
              </w:rPr>
              <w:t>3</w:t>
            </w:r>
          </w:p>
        </w:tc>
        <w:tc>
          <w:tcPr>
            <w:tcW w:w="201" w:type="pct"/>
            <w:gridSpan w:val="2"/>
            <w:noWrap/>
            <w:vAlign w:val="top"/>
          </w:tcPr>
          <w:p>
            <w:pP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Pr>
        <w:tc>
          <w:tcPr>
            <w:tcW w:w="647" w:type="pct"/>
            <w:gridSpan w:val="2"/>
            <w:vMerge w:val="restart"/>
            <w:noWrap/>
            <w:vAlign w:val="center"/>
          </w:tcPr>
          <w:p>
            <w:pPr>
              <w:spacing w:line="340" w:lineRule="exact"/>
              <w:jc w:val="center"/>
              <w:rPr>
                <w:rStyle w:val="7"/>
                <w:rFonts w:ascii="黑体" w:hAnsi="黑体" w:eastAsia="黑体"/>
                <w:color w:val="000000"/>
                <w:sz w:val="18"/>
                <w:u w:val="none"/>
              </w:rPr>
            </w:pPr>
            <w:r>
              <w:rPr>
                <w:rStyle w:val="7"/>
                <w:rFonts w:ascii="黑体" w:hAnsi="黑体" w:eastAsia="黑体"/>
                <w:color w:val="000000"/>
                <w:sz w:val="18"/>
                <w:u w:val="none"/>
              </w:rPr>
              <w:t>1.</w:t>
            </w:r>
            <w:r>
              <w:rPr>
                <w:rStyle w:val="7"/>
                <w:rFonts w:hint="eastAsia" w:ascii="黑体" w:hAnsi="黑体" w:eastAsia="黑体"/>
                <w:color w:val="000000"/>
                <w:sz w:val="18"/>
                <w:u w:val="none"/>
              </w:rPr>
              <w:t>8</w:t>
            </w:r>
            <w:r>
              <w:rPr>
                <w:rStyle w:val="7"/>
                <w:rFonts w:ascii="黑体" w:hAnsi="黑体" w:eastAsia="黑体"/>
                <w:color w:val="000000"/>
                <w:sz w:val="18"/>
                <w:u w:val="none"/>
              </w:rPr>
              <w:t>.3</w:t>
            </w:r>
          </w:p>
          <w:p>
            <w:pPr>
              <w:spacing w:line="34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消防监控、紧急呼叫和信息系统</w:t>
            </w:r>
          </w:p>
          <w:p>
            <w:pPr>
              <w:spacing w:line="34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12分</w:t>
            </w:r>
          </w:p>
        </w:tc>
        <w:tc>
          <w:tcPr>
            <w:tcW w:w="3884" w:type="pct"/>
            <w:gridSpan w:val="2"/>
            <w:noWrap/>
            <w:vAlign w:val="top"/>
          </w:tcPr>
          <w:p>
            <w:pPr>
              <w:spacing w:line="340" w:lineRule="exact"/>
              <w:rPr>
                <w:rStyle w:val="7"/>
                <w:rFonts w:ascii="宋体" w:hAnsi="宋体"/>
                <w:color w:val="000000"/>
                <w:sz w:val="18"/>
                <w:u w:val="none"/>
              </w:rPr>
            </w:pPr>
            <w:r>
              <w:rPr>
                <w:rFonts w:hint="eastAsia" w:ascii="宋体" w:hAnsi="宋体"/>
                <w:color w:val="000000"/>
                <w:sz w:val="18"/>
                <w:szCs w:val="21"/>
              </w:rPr>
              <w:t>建筑内以及室外活动场所（地）应设置视频安防监控系统。各出入口走廊、单元起居厅、餐厅、文娱与健身用房，各楼层的电梯厅、楼梯间，电梯轿厢等场所应设置安全监控设施。</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Pr>
        <w:tc>
          <w:tcPr>
            <w:tcW w:w="647" w:type="pct"/>
            <w:gridSpan w:val="2"/>
            <w:vMerge w:val="continue"/>
            <w:noWrap/>
            <w:vAlign w:val="center"/>
          </w:tcPr>
          <w:p>
            <w:pPr>
              <w:spacing w:line="340" w:lineRule="exact"/>
              <w:jc w:val="center"/>
              <w:rPr>
                <w:rFonts w:ascii="黑体" w:hAnsi="黑体" w:eastAsia="黑体" w:cs="宋体"/>
                <w:color w:val="000000"/>
                <w:sz w:val="18"/>
                <w:szCs w:val="21"/>
              </w:rPr>
            </w:pP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共用走廊、楼梯间、候梯厅和门厅等公共空间均应设置疏散导向标识、应急照明装置，宜设置音频呼叫装置；辅助逃生装置应与消防监控系统相连。公共疏散通道的防火门扇和公共通道的分区门扇，距地0.6</w:t>
            </w:r>
            <w:r>
              <w:rPr>
                <w:rFonts w:ascii="宋体" w:hAnsi="宋体"/>
                <w:color w:val="000000"/>
                <w:sz w:val="18"/>
                <w:szCs w:val="21"/>
              </w:rPr>
              <w:t>0</w:t>
            </w:r>
            <w:r>
              <w:rPr>
                <w:rFonts w:hint="eastAsia" w:ascii="宋体" w:hAnsi="宋体"/>
                <w:color w:val="000000"/>
                <w:sz w:val="18"/>
                <w:szCs w:val="21"/>
              </w:rPr>
              <w:t>m以上，应安装透明的防火玻璃；防火门的闭门器应带有阻尼缓冲装置。</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Pr>
        <w:tc>
          <w:tcPr>
            <w:tcW w:w="647" w:type="pct"/>
            <w:gridSpan w:val="2"/>
            <w:vMerge w:val="continue"/>
            <w:noWrap/>
            <w:vAlign w:val="center"/>
          </w:tcPr>
          <w:p>
            <w:pPr>
              <w:spacing w:line="340" w:lineRule="exact"/>
              <w:jc w:val="center"/>
              <w:rPr>
                <w:rFonts w:ascii="黑体" w:hAnsi="黑体" w:eastAsia="黑体" w:cs="宋体"/>
                <w:color w:val="000000"/>
                <w:sz w:val="18"/>
                <w:szCs w:val="21"/>
              </w:rPr>
            </w:pP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老年人居室、单元起居室、餐厅、卫生间、浴室、盥洗室、文娱与健身用房应设紧急呼叫装置，紧急呼叫信号应能传输至相应护理站或值班室。紧急呼叫装置要保障老年人方便触及。</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663" w:hRule="atLeast"/>
        </w:trPr>
        <w:tc>
          <w:tcPr>
            <w:tcW w:w="647" w:type="pct"/>
            <w:gridSpan w:val="2"/>
            <w:vMerge w:val="continue"/>
            <w:noWrap/>
            <w:vAlign w:val="center"/>
          </w:tcPr>
          <w:p>
            <w:pPr>
              <w:spacing w:line="340" w:lineRule="exact"/>
              <w:jc w:val="center"/>
              <w:rPr>
                <w:rFonts w:ascii="黑体" w:hAnsi="黑体" w:eastAsia="黑体" w:cs="宋体"/>
                <w:color w:val="000000"/>
                <w:sz w:val="18"/>
                <w:szCs w:val="21"/>
              </w:rPr>
            </w:pP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信息设施系统：1、应配置有线电视、电话、信息网络等信息设施系统；2、老年人居室、单元起居厅和餐厅、文娱与健身用房、康复与医疗用房应设置有线电视、电话及信息网络插座，并应设置无线局域网络覆盖。</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Pr>
        <w:tc>
          <w:tcPr>
            <w:tcW w:w="647" w:type="pct"/>
            <w:gridSpan w:val="2"/>
            <w:vMerge w:val="restart"/>
            <w:noWrap/>
            <w:vAlign w:val="center"/>
          </w:tcPr>
          <w:p>
            <w:pPr>
              <w:spacing w:line="340" w:lineRule="exact"/>
              <w:jc w:val="center"/>
              <w:rPr>
                <w:rStyle w:val="7"/>
                <w:rFonts w:ascii="黑体" w:hAnsi="黑体" w:eastAsia="黑体"/>
                <w:color w:val="000000"/>
                <w:sz w:val="18"/>
                <w:u w:val="none"/>
              </w:rPr>
            </w:pPr>
            <w:r>
              <w:rPr>
                <w:rStyle w:val="7"/>
                <w:rFonts w:hint="eastAsia" w:ascii="黑体" w:hAnsi="黑体" w:eastAsia="黑体"/>
                <w:color w:val="000000"/>
                <w:sz w:val="18"/>
                <w:u w:val="none"/>
              </w:rPr>
              <w:t>1.8.4</w:t>
            </w:r>
          </w:p>
          <w:p>
            <w:pPr>
              <w:spacing w:line="34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空调、照明和环境要求</w:t>
            </w:r>
          </w:p>
          <w:p>
            <w:pPr>
              <w:spacing w:line="34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9分</w:t>
            </w: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最热月平均室外气温高于25℃地区的养老设施建筑，应设置降温设施。老年人居室、单元起居室、餐厅、卫生间、浴室、盥洗室、文娱与健身用房，以及康复与医疗用房宜设置温度监控及调控系统，并实现各用房内单独调控。</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270" w:hRule="atLeast"/>
        </w:trPr>
        <w:tc>
          <w:tcPr>
            <w:tcW w:w="647" w:type="pct"/>
            <w:gridSpan w:val="2"/>
            <w:vMerge w:val="continue"/>
            <w:noWrap/>
            <w:vAlign w:val="center"/>
          </w:tcPr>
          <w:p>
            <w:pPr>
              <w:spacing w:line="340" w:lineRule="exact"/>
              <w:jc w:val="center"/>
              <w:rPr>
                <w:rFonts w:ascii="黑体" w:hAnsi="黑体" w:eastAsia="黑体" w:cs="宋体"/>
                <w:color w:val="000000"/>
                <w:sz w:val="18"/>
                <w:szCs w:val="21"/>
              </w:rPr>
            </w:pP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居室、单元起居厅、餐厅、文娱与健身用房宜设置备用照明，照度值不应低于该场所一般照明照度标准值的10%。</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Pr>
        <w:tc>
          <w:tcPr>
            <w:tcW w:w="647" w:type="pct"/>
            <w:gridSpan w:val="2"/>
            <w:vMerge w:val="continue"/>
            <w:noWrap/>
            <w:vAlign w:val="center"/>
          </w:tcPr>
          <w:p>
            <w:pPr>
              <w:spacing w:line="340" w:lineRule="exact"/>
              <w:jc w:val="center"/>
              <w:rPr>
                <w:rFonts w:ascii="黑体" w:hAnsi="黑体" w:eastAsia="黑体" w:cs="宋体"/>
                <w:color w:val="000000"/>
                <w:sz w:val="18"/>
                <w:szCs w:val="21"/>
              </w:rPr>
            </w:pP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老年人居住建筑装修材料的有害物质应符合国家现行有关标准的规定，严格控制室内装修污染。老年人居住建筑的环境噪声和居室噪声应符合国家现行有关标准的规定。</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381" w:hRule="atLeast"/>
        </w:trPr>
        <w:tc>
          <w:tcPr>
            <w:tcW w:w="647" w:type="pct"/>
            <w:gridSpan w:val="2"/>
            <w:vMerge w:val="restart"/>
            <w:noWrap/>
            <w:vAlign w:val="center"/>
          </w:tcPr>
          <w:p>
            <w:pPr>
              <w:jc w:val="center"/>
              <w:rPr>
                <w:rStyle w:val="7"/>
                <w:rFonts w:ascii="黑体" w:hAnsi="黑体" w:eastAsia="黑体"/>
                <w:color w:val="000000"/>
                <w:sz w:val="18"/>
                <w:u w:val="none"/>
              </w:rPr>
            </w:pPr>
            <w:r>
              <w:rPr>
                <w:rStyle w:val="7"/>
                <w:rFonts w:hint="eastAsia" w:ascii="黑体" w:hAnsi="黑体" w:eastAsia="黑体"/>
                <w:color w:val="000000"/>
                <w:sz w:val="18"/>
                <w:u w:val="none"/>
              </w:rPr>
              <w:t>1.8.5</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 xml:space="preserve">活动用房、户外活动场地     </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11分</w:t>
            </w:r>
          </w:p>
        </w:tc>
        <w:tc>
          <w:tcPr>
            <w:tcW w:w="3884" w:type="pct"/>
            <w:gridSpan w:val="2"/>
            <w:noWrap/>
            <w:vAlign w:val="top"/>
          </w:tcPr>
          <w:p>
            <w:pPr>
              <w:spacing w:line="340" w:lineRule="exact"/>
              <w:rPr>
                <w:rFonts w:ascii="宋体" w:hAnsi="宋体"/>
                <w:color w:val="000000"/>
                <w:sz w:val="18"/>
                <w:szCs w:val="21"/>
              </w:rPr>
            </w:pPr>
            <w:r>
              <w:rPr>
                <w:rFonts w:hint="eastAsia"/>
                <w:color w:val="000000"/>
                <w:sz w:val="18"/>
                <w:szCs w:val="21"/>
              </w:rPr>
              <w:t>老年人照料设施建筑的文娱与健身用房总使用面积应满足不小于2㎡/床的配建指标。</w:t>
            </w:r>
          </w:p>
        </w:tc>
        <w:tc>
          <w:tcPr>
            <w:tcW w:w="200" w:type="pct"/>
            <w:gridSpan w:val="2"/>
            <w:noWrap/>
            <w:vAlign w:val="top"/>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589" w:hRule="atLeast"/>
        </w:trPr>
        <w:tc>
          <w:tcPr>
            <w:tcW w:w="647" w:type="pct"/>
            <w:gridSpan w:val="2"/>
            <w:vMerge w:val="continue"/>
            <w:noWrap/>
            <w:vAlign w:val="top"/>
          </w:tcPr>
          <w:p>
            <w:pPr>
              <w:jc w:val="center"/>
              <w:rPr>
                <w:rFonts w:ascii="黑体" w:hAnsi="黑体" w:eastAsia="黑体" w:cs="宋体"/>
                <w:color w:val="000000"/>
                <w:sz w:val="18"/>
                <w:szCs w:val="21"/>
              </w:rPr>
            </w:pPr>
          </w:p>
        </w:tc>
        <w:tc>
          <w:tcPr>
            <w:tcW w:w="3884" w:type="pct"/>
            <w:gridSpan w:val="2"/>
            <w:noWrap/>
            <w:vAlign w:val="top"/>
          </w:tcPr>
          <w:p>
            <w:pPr>
              <w:spacing w:line="340" w:lineRule="exact"/>
              <w:rPr>
                <w:rStyle w:val="7"/>
                <w:rFonts w:ascii="宋体" w:hAnsi="宋体"/>
                <w:color w:val="000000"/>
                <w:sz w:val="18"/>
                <w:u w:val="none"/>
              </w:rPr>
            </w:pPr>
            <w:r>
              <w:rPr>
                <w:rFonts w:hint="eastAsia" w:ascii="宋体" w:hAnsi="宋体"/>
                <w:color w:val="000000"/>
                <w:sz w:val="18"/>
                <w:szCs w:val="21"/>
              </w:rPr>
              <w:t>老年人照料设施建筑的总平面内应设置供老年人休闲、健身、娱乐等活动的室外活动场地；集中活动场地附近应设置公共无障碍厕所。</w:t>
            </w:r>
          </w:p>
        </w:tc>
        <w:tc>
          <w:tcPr>
            <w:tcW w:w="200" w:type="pct"/>
            <w:gridSpan w:val="2"/>
            <w:noWrap/>
            <w:vAlign w:val="top"/>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336" w:hRule="atLeast"/>
        </w:trPr>
        <w:tc>
          <w:tcPr>
            <w:tcW w:w="647" w:type="pct"/>
            <w:gridSpan w:val="2"/>
            <w:vMerge w:val="continue"/>
            <w:noWrap/>
            <w:vAlign w:val="top"/>
          </w:tcPr>
          <w:p>
            <w:pPr>
              <w:jc w:val="center"/>
              <w:rPr>
                <w:rFonts w:ascii="黑体" w:hAnsi="黑体" w:eastAsia="黑体" w:cs="宋体"/>
                <w:color w:val="000000"/>
                <w:sz w:val="18"/>
                <w:szCs w:val="21"/>
              </w:rPr>
            </w:pP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室外轮椅坡道的净宽不应小于1.2</w:t>
            </w:r>
            <w:r>
              <w:rPr>
                <w:rFonts w:ascii="宋体" w:hAnsi="宋体"/>
                <w:color w:val="000000"/>
                <w:sz w:val="18"/>
                <w:szCs w:val="21"/>
              </w:rPr>
              <w:t>0</w:t>
            </w:r>
            <w:r>
              <w:rPr>
                <w:rFonts w:hint="eastAsia" w:ascii="宋体" w:hAnsi="宋体"/>
                <w:color w:val="000000"/>
                <w:sz w:val="18"/>
                <w:szCs w:val="21"/>
              </w:rPr>
              <w:t>m，坡道的起止点应有直径不小于1.5</w:t>
            </w:r>
            <w:r>
              <w:rPr>
                <w:rFonts w:ascii="宋体" w:hAnsi="宋体"/>
                <w:color w:val="000000"/>
                <w:sz w:val="18"/>
                <w:szCs w:val="21"/>
              </w:rPr>
              <w:t>0</w:t>
            </w:r>
            <w:r>
              <w:rPr>
                <w:rFonts w:hint="eastAsia" w:ascii="宋体" w:hAnsi="宋体"/>
                <w:color w:val="000000"/>
                <w:sz w:val="18"/>
                <w:szCs w:val="21"/>
              </w:rPr>
              <w:t>m的轮椅回旋空间。室外轮椅坡道的两侧应设扶手，凌空侧应设置栏杆，并应设置安全阻挡措施。</w:t>
            </w:r>
          </w:p>
        </w:tc>
        <w:tc>
          <w:tcPr>
            <w:tcW w:w="200" w:type="pct"/>
            <w:gridSpan w:val="2"/>
            <w:noWrap/>
            <w:vAlign w:val="top"/>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8" w:type="pct"/>
          <w:trHeight w:val="336" w:hRule="atLeast"/>
        </w:trPr>
        <w:tc>
          <w:tcPr>
            <w:tcW w:w="647" w:type="pct"/>
            <w:gridSpan w:val="2"/>
            <w:vMerge w:val="continue"/>
            <w:noWrap/>
            <w:vAlign w:val="top"/>
          </w:tcPr>
          <w:p>
            <w:pPr>
              <w:jc w:val="center"/>
              <w:rPr>
                <w:rFonts w:ascii="黑体" w:hAnsi="黑体" w:eastAsia="黑体" w:cs="宋体"/>
                <w:color w:val="000000"/>
                <w:sz w:val="18"/>
                <w:szCs w:val="21"/>
              </w:rPr>
            </w:pPr>
          </w:p>
        </w:tc>
        <w:tc>
          <w:tcPr>
            <w:tcW w:w="3884" w:type="pct"/>
            <w:gridSpan w:val="2"/>
            <w:noWrap/>
            <w:vAlign w:val="top"/>
          </w:tcPr>
          <w:p>
            <w:pPr>
              <w:spacing w:line="340" w:lineRule="exact"/>
              <w:rPr>
                <w:rFonts w:ascii="宋体" w:hAnsi="宋体"/>
                <w:color w:val="000000"/>
                <w:sz w:val="18"/>
                <w:szCs w:val="21"/>
              </w:rPr>
            </w:pPr>
            <w:r>
              <w:rPr>
                <w:rFonts w:hint="eastAsia" w:ascii="宋体" w:hAnsi="宋体"/>
                <w:color w:val="000000"/>
                <w:sz w:val="18"/>
                <w:szCs w:val="21"/>
              </w:rPr>
              <w:t>室外三级及三级以上的台阶应在两侧设置扶手，应在台阶起止位置设置明显标识，室外台阶应设置照明设施。</w:t>
            </w:r>
          </w:p>
        </w:tc>
        <w:tc>
          <w:tcPr>
            <w:tcW w:w="200" w:type="pct"/>
            <w:gridSpan w:val="2"/>
            <w:noWrap/>
            <w:vAlign w:val="top"/>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2</w:t>
            </w:r>
          </w:p>
        </w:tc>
        <w:tc>
          <w:tcPr>
            <w:tcW w:w="201" w:type="pct"/>
            <w:gridSpan w:val="2"/>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restart"/>
            <w:tcBorders>
              <w:top w:val="single" w:color="auto" w:sz="4" w:space="0"/>
              <w:left w:val="single" w:color="auto" w:sz="4" w:space="0"/>
              <w:right w:val="single" w:color="auto" w:sz="4" w:space="0"/>
            </w:tcBorders>
            <w:noWrap/>
            <w:vAlign w:val="center"/>
          </w:tcPr>
          <w:p>
            <w:pPr>
              <w:jc w:val="center"/>
              <w:rPr>
                <w:rStyle w:val="7"/>
                <w:rFonts w:ascii="黑体" w:hAnsi="黑体" w:eastAsia="黑体"/>
                <w:color w:val="000000"/>
                <w:sz w:val="18"/>
                <w:u w:val="none"/>
              </w:rPr>
            </w:pPr>
            <w:r>
              <w:rPr>
                <w:rStyle w:val="7"/>
                <w:rFonts w:ascii="黑体" w:hAnsi="黑体" w:eastAsia="黑体"/>
                <w:color w:val="000000"/>
                <w:sz w:val="18"/>
                <w:u w:val="none"/>
              </w:rPr>
              <w:t>1.</w:t>
            </w:r>
            <w:r>
              <w:rPr>
                <w:rStyle w:val="7"/>
                <w:rFonts w:hint="eastAsia" w:ascii="黑体" w:hAnsi="黑体" w:eastAsia="黑体"/>
                <w:color w:val="000000"/>
                <w:sz w:val="18"/>
                <w:u w:val="none"/>
              </w:rPr>
              <w:t>8</w:t>
            </w:r>
            <w:r>
              <w:rPr>
                <w:rStyle w:val="7"/>
                <w:rFonts w:ascii="黑体" w:hAnsi="黑体" w:eastAsia="黑体"/>
                <w:color w:val="000000"/>
                <w:sz w:val="18"/>
                <w:u w:val="none"/>
              </w:rPr>
              <w:t>.</w:t>
            </w:r>
            <w:r>
              <w:rPr>
                <w:rStyle w:val="7"/>
                <w:rFonts w:hint="eastAsia" w:ascii="黑体" w:hAnsi="黑体" w:eastAsia="黑体"/>
                <w:color w:val="000000"/>
                <w:sz w:val="18"/>
                <w:u w:val="none"/>
              </w:rPr>
              <w:t>6</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走廊楼梯、电梯 10分</w:t>
            </w: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jc w:val="left"/>
              <w:rPr>
                <w:rStyle w:val="7"/>
                <w:rFonts w:ascii="宋体" w:hAnsi="宋体"/>
                <w:color w:val="000000"/>
                <w:sz w:val="18"/>
                <w:u w:val="none"/>
              </w:rPr>
            </w:pPr>
            <w:r>
              <w:rPr>
                <w:rFonts w:hint="eastAsia" w:ascii="宋体" w:hAnsi="宋体"/>
                <w:color w:val="000000"/>
                <w:sz w:val="18"/>
                <w:szCs w:val="21"/>
              </w:rPr>
              <w:t>老年人使用的走廊，通行净宽不应小于1.80m，确有困难时不应小于1.40m；当走廊的通行净宽大于1.40m米且小于1.80m时，走廊中应设通行净宽不小于1.80m的轮椅错车空间，错车空间的间距不宜大于15m。</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rFonts w:ascii="宋体" w:hAnsi="宋体"/>
                <w:color w:val="000000"/>
                <w:sz w:val="18"/>
                <w:szCs w:val="21"/>
              </w:rPr>
            </w:pPr>
            <w:r>
              <w:rPr>
                <w:rFonts w:hint="eastAsia" w:ascii="宋体" w:hAnsi="宋体"/>
                <w:color w:val="000000"/>
                <w:sz w:val="18"/>
                <w:szCs w:val="21"/>
              </w:rPr>
              <w:t>电梯数量应按服务规模经计算确定，二层及以上楼层床位数累计超过120床，电梯数量（含升降平台、楼梯升降机（爬楼机）及无障碍电梯）不应少于2台。若有轮椅坡道可视为自动符合条件。</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rFonts w:ascii="宋体" w:hAnsi="宋体"/>
                <w:color w:val="000000"/>
                <w:sz w:val="18"/>
                <w:szCs w:val="21"/>
              </w:rPr>
            </w:pPr>
            <w:r>
              <w:rPr>
                <w:rFonts w:hint="eastAsia" w:ascii="宋体" w:hAnsi="宋体"/>
                <w:color w:val="000000"/>
                <w:sz w:val="18"/>
                <w:szCs w:val="21"/>
              </w:rPr>
              <w:t>轿厢内壁周边应设有安全扶手和监控及对讲系统，选层按钮和呼叫按钮高度宜为0.90～1.10m。</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2</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rFonts w:ascii="宋体" w:hAnsi="宋体"/>
                <w:color w:val="000000"/>
                <w:sz w:val="18"/>
                <w:szCs w:val="21"/>
              </w:rPr>
            </w:pPr>
            <w:r>
              <w:rPr>
                <w:rFonts w:hint="eastAsia" w:ascii="宋体" w:hAnsi="宋体"/>
                <w:color w:val="000000"/>
                <w:sz w:val="18"/>
                <w:szCs w:val="21"/>
              </w:rPr>
              <w:t>老年人使用的楼梯应采用防滑材料饰面，楼梯踏步起始与结束的部位应有重点照明提示或设置荧光标识，所有踏步上的防滑条、警示条等附着物均不应突出踏面。</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2</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restart"/>
            <w:tcBorders>
              <w:top w:val="single" w:color="auto" w:sz="4" w:space="0"/>
              <w:left w:val="single" w:color="auto" w:sz="4" w:space="0"/>
              <w:right w:val="single" w:color="auto" w:sz="4" w:space="0"/>
            </w:tcBorders>
            <w:noWrap/>
            <w:vAlign w:val="center"/>
          </w:tcPr>
          <w:p>
            <w:pPr>
              <w:jc w:val="center"/>
              <w:rPr>
                <w:rStyle w:val="7"/>
                <w:rFonts w:ascii="黑体" w:hAnsi="黑体" w:eastAsia="黑体"/>
                <w:color w:val="000000"/>
                <w:sz w:val="18"/>
                <w:u w:val="none"/>
              </w:rPr>
            </w:pPr>
            <w:r>
              <w:rPr>
                <w:rStyle w:val="7"/>
                <w:rFonts w:hint="eastAsia" w:ascii="黑体" w:hAnsi="黑体" w:eastAsia="黑体"/>
                <w:color w:val="000000"/>
                <w:sz w:val="18"/>
                <w:u w:val="none"/>
              </w:rPr>
              <w:t>1.8.7</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服务窗口、厨房、公共餐厅和洗衣房</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11分</w:t>
            </w: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color w:val="000000"/>
                <w:sz w:val="18"/>
                <w:szCs w:val="21"/>
              </w:rPr>
            </w:pPr>
            <w:r>
              <w:rPr>
                <w:rFonts w:hint="eastAsia"/>
                <w:color w:val="000000"/>
                <w:sz w:val="18"/>
                <w:szCs w:val="21"/>
              </w:rPr>
              <w:t>直接为老年人提供服务的窗口部门，用房位置应明显易找并设置醒目标识。</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4</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color w:val="000000"/>
                <w:sz w:val="18"/>
                <w:szCs w:val="21"/>
              </w:rPr>
            </w:pPr>
            <w:r>
              <w:rPr>
                <w:rFonts w:hint="eastAsia"/>
                <w:color w:val="000000"/>
                <w:sz w:val="18"/>
                <w:szCs w:val="21"/>
              </w:rPr>
              <w:t>厨房应满足卫生防疫等要求，且应避免厨房工作时对老年人用房产生干扰。厨房应有供餐车停放及消毒的空间。</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2</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widowControl/>
              <w:spacing w:line="360" w:lineRule="exact"/>
              <w:jc w:val="left"/>
              <w:rPr>
                <w:rStyle w:val="7"/>
                <w:rFonts w:ascii="宋体" w:hAnsi="宋体"/>
                <w:color w:val="000000"/>
                <w:sz w:val="18"/>
                <w:u w:val="none"/>
              </w:rPr>
            </w:pPr>
            <w:r>
              <w:rPr>
                <w:rFonts w:hint="eastAsia" w:ascii="宋体" w:hAnsi="宋体"/>
                <w:color w:val="000000"/>
                <w:sz w:val="18"/>
                <w:szCs w:val="21"/>
              </w:rPr>
              <w:t>老年人集中使用的餐厅应符合下列规定：1、使用面积应满足不小于1㎡/座的配建指标；2、护理型床位照料单元的餐厅座位数，按所服务床位数的40%测算，非护理型床位照料单元的餐厅座位数按所服务床位数的70%测算；3、当单元起居厅兼做老人集中使用的餐厅时，应同时符合单元起居厅与餐厅的设计规定，但使用面积可不叠加计算。</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Height w:val="841" w:hRule="atLeast"/>
        </w:trPr>
        <w:tc>
          <w:tcPr>
            <w:tcW w:w="648" w:type="pct"/>
            <w:gridSpan w:val="2"/>
            <w:vMerge w:val="continue"/>
            <w:tcBorders>
              <w:left w:val="single" w:color="auto" w:sz="4" w:space="0"/>
              <w:bottom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color w:val="000000"/>
                <w:sz w:val="18"/>
                <w:szCs w:val="21"/>
              </w:rPr>
            </w:pPr>
            <w:r>
              <w:rPr>
                <w:rFonts w:hint="eastAsia"/>
                <w:color w:val="000000"/>
                <w:sz w:val="18"/>
                <w:szCs w:val="21"/>
              </w:rPr>
              <w:t>洗衣房平面布置应洁、污分区，并应满足洗衣、消毒、叠衣、存放等需求；墙面、地面应易于清洁、不渗漏。洗衣房宜附设晾晒场地，当地面布置困难时，晒衣场地也可布置在上人屋面上，并应设置门禁和防护措施。</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2</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restart"/>
            <w:tcBorders>
              <w:left w:val="single" w:color="auto" w:sz="4" w:space="0"/>
              <w:right w:val="single" w:color="auto" w:sz="4" w:space="0"/>
            </w:tcBorders>
            <w:noWrap/>
            <w:vAlign w:val="center"/>
          </w:tcPr>
          <w:p>
            <w:pPr>
              <w:jc w:val="center"/>
              <w:rPr>
                <w:rStyle w:val="7"/>
                <w:rFonts w:ascii="黑体" w:hAnsi="黑体" w:eastAsia="黑体"/>
                <w:color w:val="000000"/>
                <w:sz w:val="18"/>
                <w:u w:val="none"/>
              </w:rPr>
            </w:pPr>
            <w:r>
              <w:rPr>
                <w:rStyle w:val="7"/>
                <w:rFonts w:ascii="黑体" w:hAnsi="黑体" w:eastAsia="黑体"/>
                <w:color w:val="000000"/>
                <w:sz w:val="18"/>
                <w:u w:val="none"/>
              </w:rPr>
              <w:t>1.</w:t>
            </w:r>
            <w:r>
              <w:rPr>
                <w:rStyle w:val="7"/>
                <w:rFonts w:hint="eastAsia" w:ascii="黑体" w:hAnsi="黑体" w:eastAsia="黑体"/>
                <w:color w:val="000000"/>
                <w:sz w:val="18"/>
                <w:u w:val="none"/>
              </w:rPr>
              <w:t>8</w:t>
            </w:r>
            <w:r>
              <w:rPr>
                <w:rStyle w:val="7"/>
                <w:rFonts w:ascii="黑体" w:hAnsi="黑体" w:eastAsia="黑体"/>
                <w:color w:val="000000"/>
                <w:sz w:val="18"/>
                <w:u w:val="none"/>
              </w:rPr>
              <w:t>.</w:t>
            </w:r>
            <w:r>
              <w:rPr>
                <w:rStyle w:val="7"/>
                <w:rFonts w:hint="eastAsia" w:ascii="黑体" w:hAnsi="黑体" w:eastAsia="黑体"/>
                <w:color w:val="000000"/>
                <w:sz w:val="18"/>
                <w:u w:val="none"/>
              </w:rPr>
              <w:t>8</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生活单元</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10分</w:t>
            </w:r>
          </w:p>
          <w:p>
            <w:pPr>
              <w:jc w:val="center"/>
              <w:rPr>
                <w:rFonts w:ascii="黑体" w:hAnsi="黑体" w:eastAsia="黑体" w:cs="宋体"/>
                <w:color w:val="000000"/>
                <w:sz w:val="18"/>
                <w:szCs w:val="21"/>
              </w:rPr>
            </w:pPr>
          </w:p>
          <w:p>
            <w:pPr>
              <w:jc w:val="center"/>
              <w:rPr>
                <w:rFonts w:ascii="黑体" w:hAnsi="黑体" w:eastAsia="黑体" w:cs="宋体"/>
                <w:color w:val="000000"/>
                <w:sz w:val="18"/>
                <w:szCs w:val="21"/>
              </w:rPr>
            </w:pPr>
          </w:p>
          <w:p>
            <w:pPr>
              <w:jc w:val="center"/>
              <w:rPr>
                <w:rFonts w:ascii="黑体" w:hAnsi="黑体" w:eastAsia="黑体" w:cs="宋体"/>
                <w:color w:val="000000"/>
                <w:sz w:val="18"/>
                <w:szCs w:val="21"/>
              </w:rPr>
            </w:pPr>
          </w:p>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color w:val="000000"/>
                <w:sz w:val="18"/>
                <w:szCs w:val="21"/>
              </w:rPr>
            </w:pPr>
            <w:r>
              <w:rPr>
                <w:rFonts w:hint="eastAsia"/>
                <w:color w:val="000000"/>
                <w:sz w:val="18"/>
                <w:szCs w:val="21"/>
              </w:rPr>
              <w:t>1、按照料单元设计时，应设居室、起居厅、就餐、护理站、药存、清洁间、污物间、卫生间、盥洗、洗浴等用房，可设老年人休息、家属探视等用房；2、按生活单元设计时，应设居室、卫生间、盥洗、厨房或电炊操作台等基本操作空间。</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color w:val="000000"/>
                <w:sz w:val="18"/>
                <w:szCs w:val="21"/>
              </w:rPr>
            </w:pPr>
            <w:r>
              <w:rPr>
                <w:rFonts w:hint="eastAsia" w:ascii="宋体" w:hAnsi="宋体"/>
                <w:color w:val="000000"/>
                <w:sz w:val="18"/>
                <w:szCs w:val="21"/>
              </w:rPr>
              <w:t>1、单人间居室使用面积不宜小于10㎡，双人间居室使用面积不宜小于16㎡。非护理型床位的多人间居室，床位数不应大于4床；护理型床位的多人间居室，床位数不应大于</w:t>
            </w:r>
            <w:r>
              <w:rPr>
                <w:rFonts w:ascii="宋体" w:hAnsi="宋体"/>
                <w:color w:val="000000"/>
                <w:sz w:val="18"/>
                <w:szCs w:val="21"/>
              </w:rPr>
              <w:t>6</w:t>
            </w:r>
            <w:r>
              <w:rPr>
                <w:rFonts w:hint="eastAsia" w:ascii="宋体" w:hAnsi="宋体"/>
                <w:color w:val="000000"/>
                <w:sz w:val="18"/>
                <w:szCs w:val="21"/>
              </w:rPr>
              <w:t>床；2、居室的净高不宜低于2.40m。</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Height w:val="815" w:hRule="atLeast"/>
        </w:trPr>
        <w:tc>
          <w:tcPr>
            <w:tcW w:w="648" w:type="pct"/>
            <w:gridSpan w:val="2"/>
            <w:vMerge w:val="continue"/>
            <w:tcBorders>
              <w:left w:val="single" w:color="auto" w:sz="4" w:space="0"/>
              <w:right w:val="single" w:color="auto" w:sz="4" w:space="0"/>
            </w:tcBorders>
            <w:noWrap/>
            <w:vAlign w:val="top"/>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60" w:lineRule="exact"/>
              <w:rPr>
                <w:color w:val="000000"/>
                <w:sz w:val="18"/>
                <w:szCs w:val="21"/>
              </w:rPr>
            </w:pPr>
            <w:r>
              <w:rPr>
                <w:rFonts w:hint="eastAsia"/>
                <w:color w:val="000000"/>
                <w:sz w:val="18"/>
                <w:szCs w:val="21"/>
              </w:rPr>
              <w:t>照料单元的使用应具有相对独立性，每个照料单元规模不应大于60床。失智老年人的照料单元应单独设置，每个照料单元规模不宜大于20床，失智老年人的照料单元应设门禁系统。</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4</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restart"/>
            <w:tcBorders>
              <w:top w:val="single" w:color="auto" w:sz="4" w:space="0"/>
              <w:left w:val="single" w:color="auto" w:sz="4" w:space="0"/>
              <w:right w:val="single" w:color="auto" w:sz="4" w:space="0"/>
            </w:tcBorders>
            <w:noWrap/>
            <w:vAlign w:val="center"/>
          </w:tcPr>
          <w:p>
            <w:pPr>
              <w:jc w:val="center"/>
              <w:rPr>
                <w:rStyle w:val="7"/>
                <w:rFonts w:ascii="黑体" w:hAnsi="黑体" w:eastAsia="黑体"/>
                <w:color w:val="000000"/>
                <w:sz w:val="18"/>
                <w:u w:val="none"/>
              </w:rPr>
            </w:pPr>
            <w:r>
              <w:rPr>
                <w:rStyle w:val="7"/>
                <w:rFonts w:hint="eastAsia" w:ascii="黑体" w:hAnsi="黑体" w:eastAsia="黑体"/>
                <w:color w:val="000000"/>
                <w:sz w:val="18"/>
                <w:u w:val="none"/>
              </w:rPr>
              <w:t>1.8.9</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公共浴室和盥洗室</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8分</w:t>
            </w: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widowControl/>
              <w:spacing w:line="300" w:lineRule="exact"/>
              <w:jc w:val="left"/>
              <w:rPr>
                <w:color w:val="000000"/>
                <w:sz w:val="18"/>
                <w:szCs w:val="21"/>
              </w:rPr>
            </w:pPr>
            <w:r>
              <w:rPr>
                <w:rFonts w:hint="eastAsia"/>
                <w:color w:val="000000"/>
                <w:sz w:val="18"/>
                <w:szCs w:val="21"/>
              </w:rPr>
              <w:t>居室未附设洗浴设施时，应集中设置浴室，并符合下列规定：1、浴位数量按所服务的老年人床位数测算。护理型床位每12床设1个，非护理型床位每8床设1个。其中轮椅老人的专用浴位不应少于总浴位数的30%，且不应少于1个；2、浴室内应配备助浴设施，并应留有助浴空间；3、浴室应附设无障碍厕位、无障碍盥洗盆或盥洗槽，并应套设更衣间。4.在老年人公共浴室内安装安全可靠的供暖设备或预留安装供暖设备的条件。</w:t>
            </w:r>
          </w:p>
          <w:p>
            <w:pPr>
              <w:widowControl/>
              <w:spacing w:line="300" w:lineRule="exact"/>
              <w:jc w:val="left"/>
              <w:rPr>
                <w:rFonts w:ascii="宋体" w:hAnsi="宋体"/>
                <w:color w:val="000000"/>
                <w:sz w:val="18"/>
                <w:szCs w:val="21"/>
                <w:highlight w:val="yellow"/>
              </w:rPr>
            </w:pPr>
            <w:r>
              <w:rPr>
                <w:rFonts w:hint="eastAsia"/>
                <w:color w:val="000000"/>
                <w:sz w:val="18"/>
                <w:szCs w:val="21"/>
              </w:rPr>
              <w:t>（若居室内附洗浴设施可视为同等条件进行相应的打分。）</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4</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center"/>
          </w:tcPr>
          <w:p>
            <w:pPr>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widowControl/>
              <w:spacing w:line="300" w:lineRule="exact"/>
              <w:jc w:val="left"/>
              <w:rPr>
                <w:color w:val="000000"/>
                <w:sz w:val="18"/>
                <w:szCs w:val="21"/>
              </w:rPr>
            </w:pPr>
            <w:r>
              <w:rPr>
                <w:rFonts w:hint="eastAsia"/>
                <w:color w:val="000000"/>
                <w:sz w:val="18"/>
                <w:szCs w:val="21"/>
              </w:rPr>
              <w:t>居室未附设卫生间或盥洗设施时，应集中设置盥洗室，并符合下列规定：1、盥洗室的盥洗盆或盥洗槽龙头数量应按所服务的老年人床位数测算。护理型床位每12床设1个，非护理型床位每4床设1个；2、盥洗室与最远居室的距离不应大于20m。（若居室内附卫生间或盥洗设施可视为同等条件进行相应的打分。）</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17" w:lineRule="auto"/>
              <w:jc w:val="center"/>
              <w:rPr>
                <w:rStyle w:val="7"/>
                <w:rFonts w:ascii="宋体" w:hAnsi="宋体" w:cs="宋体"/>
                <w:color w:val="000000"/>
                <w:sz w:val="18"/>
                <w:u w:val="none"/>
              </w:rPr>
            </w:pPr>
            <w:r>
              <w:rPr>
                <w:rStyle w:val="7"/>
                <w:rFonts w:hint="eastAsia" w:ascii="宋体" w:hAnsi="宋体" w:cs="宋体"/>
                <w:color w:val="000000"/>
                <w:sz w:val="18"/>
                <w:u w:val="none"/>
              </w:rPr>
              <w:t>4</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17" w:lineRule="auto"/>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restart"/>
            <w:tcBorders>
              <w:top w:val="single" w:color="auto" w:sz="4" w:space="0"/>
              <w:left w:val="single" w:color="auto" w:sz="4" w:space="0"/>
              <w:right w:val="single" w:color="auto" w:sz="4" w:space="0"/>
            </w:tcBorders>
            <w:noWrap/>
            <w:vAlign w:val="center"/>
          </w:tcPr>
          <w:p>
            <w:pPr>
              <w:spacing w:line="340" w:lineRule="exact"/>
              <w:jc w:val="center"/>
              <w:rPr>
                <w:rStyle w:val="7"/>
                <w:rFonts w:ascii="黑体" w:hAnsi="黑体" w:eastAsia="黑体"/>
                <w:color w:val="000000"/>
                <w:sz w:val="18"/>
                <w:u w:val="none"/>
              </w:rPr>
            </w:pPr>
            <w:r>
              <w:rPr>
                <w:rStyle w:val="7"/>
                <w:rFonts w:ascii="黑体" w:hAnsi="黑体" w:eastAsia="黑体"/>
                <w:color w:val="000000"/>
                <w:sz w:val="18"/>
                <w:u w:val="none"/>
              </w:rPr>
              <w:t>1.</w:t>
            </w:r>
            <w:r>
              <w:rPr>
                <w:rStyle w:val="7"/>
                <w:rFonts w:hint="eastAsia" w:ascii="黑体" w:hAnsi="黑体" w:eastAsia="黑体"/>
                <w:color w:val="000000"/>
                <w:sz w:val="18"/>
                <w:u w:val="none"/>
              </w:rPr>
              <w:t>8</w:t>
            </w:r>
            <w:r>
              <w:rPr>
                <w:rStyle w:val="7"/>
                <w:rFonts w:ascii="黑体" w:hAnsi="黑体" w:eastAsia="黑体"/>
                <w:color w:val="000000"/>
                <w:sz w:val="18"/>
                <w:u w:val="none"/>
              </w:rPr>
              <w:t>.1</w:t>
            </w:r>
            <w:r>
              <w:rPr>
                <w:rStyle w:val="7"/>
                <w:rFonts w:hint="eastAsia" w:ascii="黑体" w:hAnsi="黑体" w:eastAsia="黑体"/>
                <w:color w:val="000000"/>
                <w:sz w:val="18"/>
                <w:u w:val="none"/>
              </w:rPr>
              <w:t>0</w:t>
            </w:r>
          </w:p>
          <w:p>
            <w:pPr>
              <w:spacing w:line="34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 xml:space="preserve">卫生间  </w:t>
            </w:r>
          </w:p>
          <w:p>
            <w:pPr>
              <w:spacing w:line="34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9分</w:t>
            </w: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widowControl/>
              <w:spacing w:line="300" w:lineRule="exact"/>
              <w:jc w:val="left"/>
              <w:rPr>
                <w:rStyle w:val="7"/>
                <w:rFonts w:ascii="宋体" w:hAnsi="宋体"/>
                <w:color w:val="000000"/>
                <w:sz w:val="18"/>
                <w:u w:val="none"/>
              </w:rPr>
            </w:pPr>
            <w:r>
              <w:rPr>
                <w:rFonts w:hint="eastAsia" w:ascii="宋体" w:hAnsi="宋体"/>
                <w:color w:val="000000"/>
                <w:sz w:val="18"/>
                <w:szCs w:val="21"/>
              </w:rPr>
              <w:t>卫生间内与坐便器相邻墙面应设水平高0.70m的“L”形安全扶手或在坐便器两侧设水平高0.70m的“I I”形落地式安全扶手；贴墙浴盆的墙面应设水平高度0.60m的“L”形安全扶手，入盆一侧贴墙设安全扶手。</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Pr>
        <w:tc>
          <w:tcPr>
            <w:tcW w:w="648" w:type="pct"/>
            <w:gridSpan w:val="2"/>
            <w:vMerge w:val="continue"/>
            <w:tcBorders>
              <w:left w:val="single" w:color="auto" w:sz="4" w:space="0"/>
              <w:right w:val="single" w:color="auto" w:sz="4" w:space="0"/>
            </w:tcBorders>
            <w:noWrap/>
            <w:vAlign w:val="top"/>
          </w:tcPr>
          <w:p>
            <w:pPr>
              <w:spacing w:line="340" w:lineRule="exact"/>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widowControl/>
              <w:spacing w:line="300" w:lineRule="exact"/>
              <w:jc w:val="left"/>
              <w:rPr>
                <w:rStyle w:val="7"/>
                <w:rFonts w:ascii="宋体" w:hAnsi="宋体"/>
                <w:color w:val="000000"/>
                <w:sz w:val="18"/>
                <w:u w:val="none"/>
              </w:rPr>
            </w:pPr>
            <w:r>
              <w:rPr>
                <w:rFonts w:hint="eastAsia" w:ascii="宋体" w:hAnsi="宋体"/>
                <w:color w:val="000000"/>
                <w:sz w:val="18"/>
                <w:szCs w:val="21"/>
              </w:rPr>
              <w:t>照料单元应设公用卫生间，且座便器数量应按所服务的老年人床位数测算（附设卫生间的居室床位可不计在内）。护理型床位每6床设1个，非护理型床位每4床设1个，且最小规模不应小于2个坐便器。每个公用卫生间内至少应设1个供轮椅老人使用的无障碍厕位，或合并设置为无障碍卫生间；与盥洗室分设的公用卫生间应设1～2个盥洗盆或盥洗槽龙头。</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9" w:type="pct"/>
          <w:trHeight w:val="778" w:hRule="atLeast"/>
        </w:trPr>
        <w:tc>
          <w:tcPr>
            <w:tcW w:w="648" w:type="pct"/>
            <w:gridSpan w:val="2"/>
            <w:vMerge w:val="continue"/>
            <w:tcBorders>
              <w:left w:val="single" w:color="auto" w:sz="4" w:space="0"/>
              <w:right w:val="single" w:color="auto" w:sz="4" w:space="0"/>
            </w:tcBorders>
            <w:noWrap/>
            <w:vAlign w:val="top"/>
          </w:tcPr>
          <w:p>
            <w:pPr>
              <w:spacing w:line="340" w:lineRule="exact"/>
              <w:jc w:val="center"/>
              <w:rPr>
                <w:rFonts w:ascii="黑体" w:hAnsi="黑体" w:eastAsia="黑体" w:cs="宋体"/>
                <w:color w:val="000000"/>
                <w:sz w:val="18"/>
                <w:szCs w:val="21"/>
              </w:rPr>
            </w:pPr>
          </w:p>
        </w:tc>
        <w:tc>
          <w:tcPr>
            <w:tcW w:w="3891" w:type="pct"/>
            <w:gridSpan w:val="2"/>
            <w:tcBorders>
              <w:top w:val="single" w:color="auto" w:sz="4" w:space="0"/>
              <w:left w:val="single" w:color="auto" w:sz="4" w:space="0"/>
              <w:bottom w:val="single" w:color="auto" w:sz="4" w:space="0"/>
              <w:right w:val="single" w:color="auto" w:sz="4" w:space="0"/>
            </w:tcBorders>
            <w:noWrap/>
            <w:vAlign w:val="top"/>
          </w:tcPr>
          <w:p>
            <w:pPr>
              <w:spacing w:line="300" w:lineRule="exact"/>
              <w:jc w:val="left"/>
              <w:rPr>
                <w:rFonts w:ascii="宋体" w:hAnsi="宋体"/>
                <w:color w:val="000000"/>
                <w:sz w:val="18"/>
                <w:szCs w:val="21"/>
              </w:rPr>
            </w:pPr>
            <w:r>
              <w:rPr>
                <w:rFonts w:hint="eastAsia" w:ascii="宋体" w:hAnsi="宋体"/>
                <w:color w:val="000000"/>
                <w:sz w:val="18"/>
                <w:szCs w:val="21"/>
              </w:rPr>
              <w:t>老年人居室的卫生间应至少配置坐便器、洗浴器、洗面器三件卫生洁具，宜采用浅色卫生洁具，三件卫生洁具集中配置的卫生间使用面积不应小于3㎡，并应满足轮椅使用；卫生间空间布置应留有相应的助洁、助厕、助浴等操作空间。在老年人居室的卫生间内安装安全可靠的供暖设备或预留安装供暖设备的条件。</w:t>
            </w:r>
          </w:p>
        </w:tc>
        <w:tc>
          <w:tcPr>
            <w:tcW w:w="201" w:type="pct"/>
            <w:gridSpan w:val="2"/>
            <w:tcBorders>
              <w:top w:val="single" w:color="auto" w:sz="4" w:space="0"/>
              <w:left w:val="single" w:color="auto" w:sz="4" w:space="0"/>
              <w:bottom w:val="single" w:color="auto" w:sz="4" w:space="0"/>
              <w:right w:val="single" w:color="auto" w:sz="4" w:space="0"/>
            </w:tcBorders>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201" w:type="pct"/>
            <w:gridSpan w:val="2"/>
            <w:tcBorders>
              <w:top w:val="single" w:color="auto" w:sz="4" w:space="0"/>
              <w:left w:val="single" w:color="auto" w:sz="4" w:space="0"/>
              <w:bottom w:val="single" w:color="auto" w:sz="4" w:space="0"/>
              <w:right w:val="single" w:color="auto" w:sz="4" w:space="0"/>
            </w:tcBorders>
            <w:noWrap/>
            <w:vAlign w:val="top"/>
          </w:tcPr>
          <w:p>
            <w:pPr>
              <w:spacing w:line="340" w:lineRule="exact"/>
              <w:jc w:val="center"/>
              <w:rPr>
                <w:rStyle w:val="7"/>
                <w:rFonts w:ascii="黑体" w:hAnsi="黑体" w:eastAsia="黑体"/>
                <w:color w:val="000000"/>
                <w:sz w:val="24"/>
                <w:u w:val="none"/>
              </w:rPr>
            </w:pPr>
          </w:p>
        </w:tc>
      </w:tr>
    </w:tbl>
    <w:p>
      <w:pPr>
        <w:widowControl/>
        <w:jc w:val="left"/>
        <w:rPr>
          <w:rStyle w:val="7"/>
          <w:rFonts w:ascii="黑体" w:hAnsi="黑体" w:eastAsia="黑体"/>
          <w:color w:val="000000"/>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黑体" w:hAnsi="黑体" w:eastAsia="黑体"/>
          <w:sz w:val="24"/>
          <w:u w:val="none"/>
        </w:rPr>
      </w:pPr>
    </w:p>
    <w:p>
      <w:pPr>
        <w:widowControl/>
        <w:jc w:val="left"/>
        <w:rPr>
          <w:rStyle w:val="7"/>
          <w:rFonts w:ascii="宋体" w:hAnsi="宋体"/>
          <w:color w:val="000000"/>
          <w:sz w:val="24"/>
          <w:u w:val="none"/>
        </w:rPr>
      </w:pPr>
      <w:r>
        <w:rPr>
          <w:rStyle w:val="7"/>
          <w:rFonts w:hint="eastAsia" w:ascii="黑体" w:hAnsi="黑体" w:eastAsia="黑体"/>
          <w:sz w:val="24"/>
          <w:u w:val="none"/>
        </w:rPr>
        <w:t xml:space="preserve">  </w:t>
      </w:r>
      <w:r>
        <w:rPr>
          <w:rStyle w:val="7"/>
          <w:rFonts w:hint="eastAsia" w:ascii="宋体" w:hAnsi="宋体"/>
          <w:color w:val="000000"/>
          <w:sz w:val="24"/>
          <w:u w:val="none"/>
        </w:rPr>
        <w:t>2.过程性指标:总分</w:t>
      </w:r>
      <w:r>
        <w:rPr>
          <w:rStyle w:val="7"/>
          <w:rFonts w:ascii="宋体" w:hAnsi="宋体"/>
          <w:color w:val="000000"/>
          <w:sz w:val="24"/>
          <w:u w:val="none"/>
        </w:rPr>
        <w:t>5</w:t>
      </w:r>
      <w:r>
        <w:rPr>
          <w:rStyle w:val="7"/>
          <w:rFonts w:hint="eastAsia" w:ascii="宋体" w:hAnsi="宋体"/>
          <w:color w:val="000000"/>
          <w:sz w:val="24"/>
          <w:u w:val="none"/>
        </w:rPr>
        <w:t>5</w:t>
      </w:r>
      <w:r>
        <w:rPr>
          <w:rStyle w:val="7"/>
          <w:rFonts w:ascii="宋体" w:hAnsi="宋体"/>
          <w:color w:val="000000"/>
          <w:sz w:val="24"/>
          <w:u w:val="none"/>
        </w:rPr>
        <w:t>0</w:t>
      </w:r>
      <w:r>
        <w:rPr>
          <w:rStyle w:val="7"/>
          <w:rFonts w:hint="eastAsia" w:ascii="宋体" w:hAnsi="宋体"/>
          <w:color w:val="000000"/>
          <w:sz w:val="24"/>
          <w:u w:val="none"/>
        </w:rPr>
        <w:t>分</w:t>
      </w:r>
    </w:p>
    <w:tbl>
      <w:tblPr>
        <w:tblStyle w:val="4"/>
        <w:tblpPr w:leftFromText="180" w:rightFromText="180" w:horzAnchor="margin" w:tblpX="270" w:tblpY="47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10177"/>
        <w:gridCol w:w="738"/>
        <w:gridCol w:w="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39" w:type="dxa"/>
            <w:noWrap/>
            <w:vAlign w:val="top"/>
          </w:tcPr>
          <w:p>
            <w:pPr>
              <w:spacing w:line="317" w:lineRule="auto"/>
              <w:jc w:val="center"/>
              <w:rPr>
                <w:rStyle w:val="7"/>
                <w:rFonts w:ascii="宋体" w:hAnsi="宋体"/>
                <w:color w:val="000000"/>
                <w:szCs w:val="21"/>
                <w:u w:val="none"/>
              </w:rPr>
            </w:pPr>
            <w:r>
              <w:rPr>
                <w:rStyle w:val="7"/>
                <w:rFonts w:hint="eastAsia" w:ascii="宋体" w:hAnsi="宋体"/>
                <w:color w:val="000000"/>
                <w:szCs w:val="21"/>
                <w:u w:val="none"/>
              </w:rPr>
              <w:t>评定指标</w:t>
            </w:r>
          </w:p>
        </w:tc>
        <w:tc>
          <w:tcPr>
            <w:tcW w:w="10177" w:type="dxa"/>
            <w:noWrap/>
            <w:vAlign w:val="top"/>
          </w:tcPr>
          <w:p>
            <w:pPr>
              <w:spacing w:line="317" w:lineRule="auto"/>
              <w:jc w:val="center"/>
              <w:rPr>
                <w:rStyle w:val="7"/>
                <w:rFonts w:ascii="宋体" w:hAnsi="宋体"/>
                <w:color w:val="000000"/>
                <w:szCs w:val="21"/>
                <w:u w:val="none"/>
              </w:rPr>
            </w:pPr>
            <w:r>
              <w:rPr>
                <w:rStyle w:val="7"/>
                <w:rFonts w:hint="eastAsia" w:ascii="宋体" w:hAnsi="宋体"/>
                <w:color w:val="000000"/>
                <w:szCs w:val="21"/>
                <w:u w:val="none"/>
              </w:rPr>
              <w:t>评定标准</w:t>
            </w:r>
          </w:p>
        </w:tc>
        <w:tc>
          <w:tcPr>
            <w:tcW w:w="738" w:type="dxa"/>
            <w:noWrap/>
            <w:vAlign w:val="top"/>
          </w:tcPr>
          <w:p>
            <w:pPr>
              <w:spacing w:line="317" w:lineRule="auto"/>
              <w:jc w:val="center"/>
              <w:rPr>
                <w:rStyle w:val="7"/>
                <w:rFonts w:ascii="宋体" w:hAnsi="宋体" w:cs="宋体"/>
                <w:b/>
                <w:color w:val="000000"/>
                <w:szCs w:val="21"/>
                <w:u w:val="none"/>
              </w:rPr>
            </w:pPr>
            <w:r>
              <w:rPr>
                <w:rStyle w:val="7"/>
                <w:rFonts w:hint="eastAsia" w:ascii="宋体" w:hAnsi="宋体" w:cs="宋体"/>
                <w:b/>
                <w:color w:val="000000"/>
                <w:szCs w:val="21"/>
                <w:u w:val="none"/>
              </w:rPr>
              <w:t>分值</w:t>
            </w:r>
          </w:p>
        </w:tc>
        <w:tc>
          <w:tcPr>
            <w:tcW w:w="785" w:type="dxa"/>
            <w:noWrap/>
            <w:vAlign w:val="top"/>
          </w:tcPr>
          <w:p>
            <w:pPr>
              <w:spacing w:line="317" w:lineRule="auto"/>
              <w:jc w:val="center"/>
              <w:rPr>
                <w:rStyle w:val="7"/>
                <w:rFonts w:ascii="宋体" w:hAnsi="宋体"/>
                <w:color w:val="000000"/>
                <w:szCs w:val="21"/>
                <w:u w:val="none"/>
              </w:rPr>
            </w:pPr>
            <w:r>
              <w:rPr>
                <w:rStyle w:val="7"/>
                <w:rFonts w:hint="eastAsia" w:ascii="宋体" w:hAnsi="宋体"/>
                <w:color w:val="000000"/>
                <w:szCs w:val="21"/>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39" w:type="dxa"/>
            <w:vMerge w:val="restart"/>
            <w:noWrap/>
            <w:vAlign w:val="center"/>
          </w:tcPr>
          <w:p>
            <w:pPr>
              <w:spacing w:line="340" w:lineRule="exact"/>
              <w:jc w:val="center"/>
              <w:rPr>
                <w:rStyle w:val="7"/>
                <w:rFonts w:ascii="黑体" w:hAnsi="黑体" w:eastAsia="黑体"/>
                <w:color w:val="000000"/>
                <w:sz w:val="18"/>
                <w:u w:val="none"/>
              </w:rPr>
            </w:pPr>
            <w:r>
              <w:rPr>
                <w:rStyle w:val="7"/>
                <w:rFonts w:ascii="黑体" w:hAnsi="黑体" w:eastAsia="黑体"/>
                <w:color w:val="000000"/>
                <w:sz w:val="18"/>
                <w:u w:val="none"/>
              </w:rPr>
              <w:t>2.1</w:t>
            </w:r>
          </w:p>
          <w:p>
            <w:pPr>
              <w:spacing w:line="340" w:lineRule="exact"/>
              <w:jc w:val="center"/>
              <w:rPr>
                <w:rStyle w:val="7"/>
                <w:rFonts w:ascii="黑体" w:hAnsi="黑体" w:eastAsia="黑体"/>
                <w:color w:val="000000"/>
                <w:sz w:val="18"/>
                <w:u w:val="none"/>
              </w:rPr>
            </w:pPr>
            <w:r>
              <w:rPr>
                <w:rStyle w:val="7"/>
                <w:rFonts w:hint="eastAsia" w:ascii="黑体" w:hAnsi="黑体" w:eastAsia="黑体"/>
                <w:color w:val="000000"/>
                <w:sz w:val="18"/>
                <w:u w:val="none"/>
              </w:rPr>
              <w:t>机构安全管理</w:t>
            </w:r>
          </w:p>
          <w:p>
            <w:pPr>
              <w:spacing w:line="340" w:lineRule="exact"/>
              <w:jc w:val="center"/>
              <w:rPr>
                <w:rStyle w:val="7"/>
                <w:rFonts w:ascii="黑体" w:hAnsi="黑体" w:eastAsia="黑体"/>
                <w:color w:val="000000"/>
                <w:sz w:val="18"/>
                <w:u w:val="none"/>
              </w:rPr>
            </w:pPr>
            <w:r>
              <w:rPr>
                <w:rStyle w:val="7"/>
                <w:rFonts w:ascii="黑体" w:hAnsi="黑体" w:eastAsia="黑体"/>
                <w:color w:val="000000"/>
                <w:sz w:val="18"/>
                <w:u w:val="none"/>
              </w:rPr>
              <w:t>50分</w:t>
            </w:r>
          </w:p>
        </w:tc>
        <w:tc>
          <w:tcPr>
            <w:tcW w:w="10177" w:type="dxa"/>
            <w:noWrap/>
            <w:vAlign w:val="top"/>
          </w:tcPr>
          <w:p>
            <w:pPr>
              <w:spacing w:line="340" w:lineRule="exact"/>
              <w:rPr>
                <w:rStyle w:val="7"/>
                <w:rFonts w:ascii="宋体" w:hAnsi="宋体"/>
                <w:color w:val="000000"/>
                <w:sz w:val="18"/>
                <w:u w:val="none"/>
              </w:rPr>
            </w:pPr>
            <w:r>
              <w:rPr>
                <w:rStyle w:val="7"/>
                <w:rFonts w:hint="eastAsia" w:ascii="宋体" w:hAnsi="宋体"/>
                <w:color w:val="000000"/>
                <w:sz w:val="18"/>
                <w:u w:val="none"/>
              </w:rPr>
              <w:t>建立落实各类安全管理制度，</w:t>
            </w:r>
            <w:r>
              <w:rPr>
                <w:rStyle w:val="7"/>
                <w:rFonts w:ascii="宋体" w:hAnsi="宋体"/>
                <w:color w:val="000000"/>
                <w:sz w:val="18"/>
                <w:u w:val="none"/>
              </w:rPr>
              <w:t>包括</w:t>
            </w:r>
            <w:r>
              <w:rPr>
                <w:rStyle w:val="7"/>
                <w:rFonts w:hint="eastAsia" w:ascii="宋体" w:hAnsi="宋体"/>
                <w:color w:val="000000"/>
                <w:sz w:val="18"/>
                <w:u w:val="none"/>
              </w:rPr>
              <w:t>但不限于安全责任制度、</w:t>
            </w:r>
            <w:r>
              <w:rPr>
                <w:rStyle w:val="7"/>
                <w:rFonts w:ascii="宋体" w:hAnsi="宋体"/>
                <w:color w:val="000000"/>
                <w:sz w:val="18"/>
                <w:u w:val="none"/>
              </w:rPr>
              <w:t>安全</w:t>
            </w:r>
            <w:r>
              <w:rPr>
                <w:rStyle w:val="7"/>
                <w:rFonts w:hint="eastAsia" w:ascii="宋体" w:hAnsi="宋体"/>
                <w:color w:val="000000"/>
                <w:sz w:val="18"/>
                <w:u w:val="none"/>
              </w:rPr>
              <w:t>教育制度；</w:t>
            </w:r>
            <w:r>
              <w:rPr>
                <w:rStyle w:val="7"/>
                <w:rFonts w:ascii="宋体" w:hAnsi="宋体"/>
                <w:color w:val="000000"/>
                <w:sz w:val="18"/>
                <w:u w:val="none"/>
              </w:rPr>
              <w:t>安全</w:t>
            </w:r>
            <w:r>
              <w:rPr>
                <w:rStyle w:val="7"/>
                <w:rFonts w:hint="eastAsia" w:ascii="宋体" w:hAnsi="宋体"/>
                <w:color w:val="000000"/>
                <w:sz w:val="18"/>
                <w:u w:val="none"/>
              </w:rPr>
              <w:t>操作规范或规程；</w:t>
            </w:r>
            <w:r>
              <w:rPr>
                <w:rStyle w:val="7"/>
                <w:rFonts w:ascii="宋体" w:hAnsi="宋体"/>
                <w:color w:val="000000"/>
                <w:sz w:val="18"/>
                <w:u w:val="none"/>
              </w:rPr>
              <w:t>安全</w:t>
            </w:r>
            <w:r>
              <w:rPr>
                <w:rStyle w:val="7"/>
                <w:rFonts w:hint="eastAsia" w:ascii="宋体" w:hAnsi="宋体"/>
                <w:color w:val="000000"/>
                <w:sz w:val="18"/>
                <w:u w:val="none"/>
              </w:rPr>
              <w:t>检查制度；</w:t>
            </w:r>
            <w:r>
              <w:rPr>
                <w:rStyle w:val="7"/>
                <w:rFonts w:ascii="宋体" w:hAnsi="宋体"/>
                <w:color w:val="000000"/>
                <w:sz w:val="18"/>
                <w:u w:val="none"/>
              </w:rPr>
              <w:t>事故</w:t>
            </w:r>
            <w:r>
              <w:rPr>
                <w:rStyle w:val="7"/>
                <w:rFonts w:hint="eastAsia" w:ascii="宋体" w:hAnsi="宋体"/>
                <w:color w:val="000000"/>
                <w:sz w:val="18"/>
                <w:u w:val="none"/>
              </w:rPr>
              <w:t>处理与报告制度；考核与奖惩制度等。</w:t>
            </w:r>
          </w:p>
        </w:tc>
        <w:tc>
          <w:tcPr>
            <w:tcW w:w="738" w:type="dxa"/>
            <w:noWrap/>
            <w:vAlign w:val="center"/>
          </w:tcPr>
          <w:p>
            <w:pPr>
              <w:spacing w:line="340" w:lineRule="exact"/>
              <w:jc w:val="center"/>
              <w:rPr>
                <w:rStyle w:val="7"/>
                <w:rFonts w:ascii="宋体" w:hAnsi="宋体" w:cs="宋体"/>
                <w:color w:val="000000"/>
                <w:sz w:val="18"/>
                <w:u w:val="none"/>
              </w:rPr>
            </w:pPr>
            <w:r>
              <w:rPr>
                <w:rStyle w:val="7"/>
                <w:rFonts w:ascii="宋体" w:hAnsi="宋体" w:cs="宋体"/>
                <w:color w:val="000000"/>
                <w:sz w:val="18"/>
                <w:u w:val="none"/>
              </w:rPr>
              <w:t>10</w:t>
            </w:r>
          </w:p>
        </w:tc>
        <w:tc>
          <w:tcPr>
            <w:tcW w:w="785" w:type="dxa"/>
            <w:noWrap/>
            <w:vAlign w:val="top"/>
          </w:tcPr>
          <w:p>
            <w:pPr>
              <w:spacing w:line="340" w:lineRule="exact"/>
              <w:jc w:val="center"/>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939" w:type="dxa"/>
            <w:vMerge w:val="continue"/>
            <w:noWrap/>
            <w:vAlign w:val="center"/>
          </w:tcPr>
          <w:p>
            <w:pPr>
              <w:spacing w:line="340" w:lineRule="exact"/>
              <w:jc w:val="center"/>
              <w:rPr>
                <w:rStyle w:val="7"/>
                <w:rFonts w:ascii="黑体" w:hAnsi="黑体" w:eastAsia="黑体"/>
                <w:color w:val="000000"/>
                <w:sz w:val="18"/>
                <w:u w:val="none"/>
              </w:rPr>
            </w:pPr>
          </w:p>
        </w:tc>
        <w:tc>
          <w:tcPr>
            <w:tcW w:w="10177" w:type="dxa"/>
            <w:noWrap/>
            <w:vAlign w:val="top"/>
          </w:tcPr>
          <w:p>
            <w:pPr>
              <w:spacing w:line="340" w:lineRule="exact"/>
              <w:rPr>
                <w:rStyle w:val="7"/>
                <w:rFonts w:ascii="宋体" w:hAnsi="宋体"/>
                <w:color w:val="000000"/>
                <w:sz w:val="18"/>
                <w:u w:val="none"/>
              </w:rPr>
            </w:pPr>
            <w:r>
              <w:rPr>
                <w:rStyle w:val="7"/>
                <w:rFonts w:hint="eastAsia" w:ascii="宋体" w:hAnsi="宋体"/>
                <w:color w:val="000000"/>
                <w:sz w:val="18"/>
                <w:u w:val="none"/>
              </w:rPr>
              <w:t>机构对</w:t>
            </w:r>
            <w:r>
              <w:rPr>
                <w:rStyle w:val="7"/>
                <w:rFonts w:ascii="宋体" w:hAnsi="宋体"/>
                <w:color w:val="000000"/>
                <w:sz w:val="18"/>
                <w:u w:val="none"/>
              </w:rPr>
              <w:t>食物</w:t>
            </w:r>
            <w:r>
              <w:rPr>
                <w:rStyle w:val="7"/>
                <w:rFonts w:hint="eastAsia" w:ascii="宋体" w:hAnsi="宋体"/>
                <w:color w:val="000000"/>
                <w:sz w:val="18"/>
                <w:u w:val="none"/>
              </w:rPr>
              <w:t>中毒、公共卫生事件、</w:t>
            </w:r>
            <w:r>
              <w:rPr>
                <w:rStyle w:val="7"/>
                <w:rFonts w:ascii="宋体" w:hAnsi="宋体"/>
                <w:color w:val="000000"/>
                <w:sz w:val="18"/>
                <w:u w:val="none"/>
              </w:rPr>
              <w:t>自然</w:t>
            </w:r>
            <w:r>
              <w:rPr>
                <w:rStyle w:val="7"/>
                <w:rFonts w:hint="eastAsia" w:ascii="宋体" w:hAnsi="宋体"/>
                <w:color w:val="000000"/>
                <w:sz w:val="18"/>
                <w:u w:val="none"/>
              </w:rPr>
              <w:t>灾害；</w:t>
            </w:r>
            <w:r>
              <w:rPr>
                <w:rStyle w:val="7"/>
                <w:rFonts w:ascii="宋体" w:hAnsi="宋体"/>
                <w:color w:val="000000"/>
                <w:sz w:val="18"/>
                <w:u w:val="none"/>
              </w:rPr>
              <w:t>老年人</w:t>
            </w:r>
            <w:r>
              <w:rPr>
                <w:rStyle w:val="7"/>
                <w:rFonts w:hint="eastAsia" w:ascii="宋体" w:hAnsi="宋体"/>
                <w:color w:val="000000"/>
                <w:sz w:val="18"/>
                <w:u w:val="none"/>
              </w:rPr>
              <w:t>自伤、</w:t>
            </w:r>
            <w:r>
              <w:rPr>
                <w:rStyle w:val="7"/>
                <w:rFonts w:ascii="宋体" w:hAnsi="宋体"/>
                <w:color w:val="000000"/>
                <w:sz w:val="18"/>
                <w:u w:val="none"/>
              </w:rPr>
              <w:t>跌倒</w:t>
            </w:r>
            <w:r>
              <w:rPr>
                <w:rStyle w:val="7"/>
                <w:rFonts w:hint="eastAsia" w:ascii="宋体" w:hAnsi="宋体"/>
                <w:color w:val="000000"/>
                <w:sz w:val="18"/>
                <w:u w:val="none"/>
              </w:rPr>
              <w:t>、坠床、</w:t>
            </w:r>
            <w:r>
              <w:rPr>
                <w:rStyle w:val="7"/>
                <w:rFonts w:ascii="宋体" w:hAnsi="宋体"/>
                <w:color w:val="000000"/>
                <w:sz w:val="18"/>
                <w:u w:val="none"/>
              </w:rPr>
              <w:t>噎食</w:t>
            </w:r>
            <w:r>
              <w:rPr>
                <w:rStyle w:val="7"/>
                <w:rFonts w:hint="eastAsia" w:ascii="宋体" w:hAnsi="宋体"/>
                <w:color w:val="000000"/>
                <w:sz w:val="18"/>
                <w:u w:val="none"/>
              </w:rPr>
              <w:t>、</w:t>
            </w:r>
            <w:r>
              <w:rPr>
                <w:rStyle w:val="7"/>
                <w:rFonts w:ascii="宋体" w:hAnsi="宋体"/>
                <w:color w:val="000000"/>
                <w:sz w:val="18"/>
                <w:u w:val="none"/>
              </w:rPr>
              <w:t>窒息</w:t>
            </w:r>
            <w:r>
              <w:rPr>
                <w:rStyle w:val="7"/>
                <w:rFonts w:hint="eastAsia" w:ascii="宋体" w:hAnsi="宋体"/>
                <w:color w:val="000000"/>
                <w:sz w:val="18"/>
                <w:u w:val="none"/>
              </w:rPr>
              <w:t>、</w:t>
            </w:r>
            <w:r>
              <w:rPr>
                <w:rStyle w:val="7"/>
                <w:rFonts w:ascii="宋体" w:hAnsi="宋体"/>
                <w:color w:val="000000"/>
                <w:sz w:val="18"/>
                <w:u w:val="none"/>
              </w:rPr>
              <w:t>误吸</w:t>
            </w:r>
            <w:r>
              <w:rPr>
                <w:rStyle w:val="7"/>
                <w:rFonts w:hint="eastAsia" w:ascii="宋体" w:hAnsi="宋体"/>
                <w:color w:val="000000"/>
                <w:sz w:val="18"/>
                <w:u w:val="none"/>
              </w:rPr>
              <w:t>、</w:t>
            </w:r>
            <w:r>
              <w:rPr>
                <w:rStyle w:val="7"/>
                <w:rFonts w:ascii="宋体" w:hAnsi="宋体"/>
                <w:color w:val="000000"/>
                <w:sz w:val="18"/>
                <w:u w:val="none"/>
              </w:rPr>
              <w:t>走失</w:t>
            </w:r>
            <w:r>
              <w:rPr>
                <w:rStyle w:val="7"/>
                <w:rFonts w:hint="eastAsia" w:ascii="宋体" w:hAnsi="宋体"/>
                <w:color w:val="000000"/>
                <w:sz w:val="18"/>
                <w:u w:val="none"/>
              </w:rPr>
              <w:t>、</w:t>
            </w:r>
            <w:r>
              <w:rPr>
                <w:rStyle w:val="7"/>
                <w:rFonts w:ascii="宋体" w:hAnsi="宋体"/>
                <w:color w:val="000000"/>
                <w:sz w:val="18"/>
                <w:u w:val="none"/>
              </w:rPr>
              <w:t>烫伤</w:t>
            </w:r>
            <w:r>
              <w:rPr>
                <w:rStyle w:val="7"/>
                <w:rFonts w:hint="eastAsia" w:ascii="宋体" w:hAnsi="宋体"/>
                <w:color w:val="000000"/>
                <w:sz w:val="18"/>
                <w:u w:val="none"/>
              </w:rPr>
              <w:t>等突发事件制定相应的应急预案并定期演练。</w:t>
            </w:r>
            <w:r>
              <w:rPr>
                <w:rStyle w:val="7"/>
                <w:rFonts w:ascii="宋体" w:hAnsi="宋体"/>
                <w:color w:val="000000"/>
                <w:sz w:val="18"/>
                <w:u w:val="none"/>
              </w:rPr>
              <w:t>应急</w:t>
            </w:r>
            <w:r>
              <w:rPr>
                <w:rStyle w:val="7"/>
                <w:rFonts w:hint="eastAsia" w:ascii="宋体" w:hAnsi="宋体"/>
                <w:color w:val="000000"/>
                <w:sz w:val="18"/>
                <w:u w:val="none"/>
              </w:rPr>
              <w:t>预案内容应包括：</w:t>
            </w:r>
            <w:r>
              <w:rPr>
                <w:rStyle w:val="7"/>
                <w:rFonts w:ascii="宋体" w:hAnsi="宋体"/>
                <w:color w:val="000000"/>
                <w:sz w:val="18"/>
                <w:u w:val="none"/>
              </w:rPr>
              <w:t>突发</w:t>
            </w:r>
            <w:r>
              <w:rPr>
                <w:rStyle w:val="7"/>
                <w:rFonts w:hint="eastAsia" w:ascii="宋体" w:hAnsi="宋体"/>
                <w:color w:val="000000"/>
                <w:sz w:val="18"/>
                <w:u w:val="none"/>
              </w:rPr>
              <w:t>事件类型、</w:t>
            </w:r>
            <w:r>
              <w:rPr>
                <w:rStyle w:val="7"/>
                <w:rFonts w:ascii="宋体" w:hAnsi="宋体"/>
                <w:color w:val="000000"/>
                <w:sz w:val="18"/>
                <w:u w:val="none"/>
              </w:rPr>
              <w:t>组织</w:t>
            </w:r>
            <w:r>
              <w:rPr>
                <w:rStyle w:val="7"/>
                <w:rFonts w:hint="eastAsia" w:ascii="宋体" w:hAnsi="宋体"/>
                <w:color w:val="000000"/>
                <w:sz w:val="18"/>
                <w:u w:val="none"/>
              </w:rPr>
              <w:t>机构、</w:t>
            </w:r>
            <w:r>
              <w:rPr>
                <w:rStyle w:val="7"/>
                <w:rFonts w:ascii="宋体" w:hAnsi="宋体"/>
                <w:color w:val="000000"/>
                <w:sz w:val="18"/>
                <w:u w:val="none"/>
              </w:rPr>
              <w:t>职责</w:t>
            </w:r>
            <w:r>
              <w:rPr>
                <w:rStyle w:val="7"/>
                <w:rFonts w:hint="eastAsia" w:ascii="宋体" w:hAnsi="宋体"/>
                <w:color w:val="000000"/>
                <w:sz w:val="18"/>
                <w:u w:val="none"/>
              </w:rPr>
              <w:t>分工、</w:t>
            </w:r>
            <w:r>
              <w:rPr>
                <w:rStyle w:val="7"/>
                <w:rFonts w:ascii="宋体" w:hAnsi="宋体"/>
                <w:color w:val="000000"/>
                <w:sz w:val="18"/>
                <w:u w:val="none"/>
              </w:rPr>
              <w:t>处理</w:t>
            </w:r>
            <w:r>
              <w:rPr>
                <w:rStyle w:val="7"/>
                <w:rFonts w:hint="eastAsia" w:ascii="宋体" w:hAnsi="宋体"/>
                <w:color w:val="000000"/>
                <w:sz w:val="18"/>
                <w:u w:val="none"/>
              </w:rPr>
              <w:t>原则、</w:t>
            </w:r>
            <w:r>
              <w:rPr>
                <w:rStyle w:val="7"/>
                <w:rFonts w:ascii="宋体" w:hAnsi="宋体"/>
                <w:color w:val="000000"/>
                <w:sz w:val="18"/>
                <w:u w:val="none"/>
              </w:rPr>
              <w:t>处理</w:t>
            </w:r>
            <w:r>
              <w:rPr>
                <w:rStyle w:val="7"/>
                <w:rFonts w:hint="eastAsia" w:ascii="宋体" w:hAnsi="宋体"/>
                <w:color w:val="000000"/>
                <w:sz w:val="18"/>
                <w:u w:val="none"/>
              </w:rPr>
              <w:t>流程和工作要求。工作人员了解并掌握预案。</w:t>
            </w:r>
          </w:p>
        </w:tc>
        <w:tc>
          <w:tcPr>
            <w:tcW w:w="738" w:type="dxa"/>
            <w:noWrap/>
            <w:vAlign w:val="center"/>
          </w:tcPr>
          <w:p>
            <w:pPr>
              <w:spacing w:line="340" w:lineRule="exact"/>
              <w:jc w:val="center"/>
              <w:rPr>
                <w:rStyle w:val="7"/>
                <w:rFonts w:ascii="宋体" w:hAnsi="宋体" w:cs="宋体"/>
                <w:color w:val="000000"/>
                <w:sz w:val="18"/>
                <w:u w:val="none"/>
              </w:rPr>
            </w:pPr>
            <w:r>
              <w:rPr>
                <w:rStyle w:val="7"/>
                <w:rFonts w:ascii="宋体" w:hAnsi="宋体" w:cs="宋体"/>
                <w:color w:val="000000"/>
                <w:sz w:val="18"/>
                <w:u w:val="none"/>
              </w:rPr>
              <w:t>10</w:t>
            </w:r>
          </w:p>
        </w:tc>
        <w:tc>
          <w:tcPr>
            <w:tcW w:w="785" w:type="dxa"/>
            <w:noWrap/>
            <w:vAlign w:val="top"/>
          </w:tcPr>
          <w:p>
            <w:pPr>
              <w:spacing w:line="340" w:lineRule="exact"/>
              <w:jc w:val="center"/>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noWrap/>
            <w:vAlign w:val="center"/>
          </w:tcPr>
          <w:p>
            <w:pPr>
              <w:spacing w:line="340" w:lineRule="exact"/>
              <w:jc w:val="center"/>
              <w:rPr>
                <w:rStyle w:val="7"/>
                <w:rFonts w:ascii="黑体" w:hAnsi="黑体" w:eastAsia="黑体"/>
                <w:color w:val="000000"/>
                <w:sz w:val="18"/>
                <w:u w:val="none"/>
              </w:rPr>
            </w:pPr>
          </w:p>
        </w:tc>
        <w:tc>
          <w:tcPr>
            <w:tcW w:w="10177" w:type="dxa"/>
            <w:noWrap/>
            <w:vAlign w:val="top"/>
          </w:tcPr>
          <w:p>
            <w:pPr>
              <w:spacing w:line="340" w:lineRule="exact"/>
              <w:rPr>
                <w:rStyle w:val="7"/>
                <w:rFonts w:ascii="宋体" w:hAnsi="宋体"/>
                <w:color w:val="000000"/>
                <w:sz w:val="18"/>
                <w:u w:val="none"/>
              </w:rPr>
            </w:pPr>
            <w:r>
              <w:rPr>
                <w:rStyle w:val="7"/>
                <w:rFonts w:hint="eastAsia"/>
                <w:color w:val="000000"/>
                <w:sz w:val="18"/>
                <w:u w:val="none"/>
              </w:rPr>
              <w:t>机构对</w:t>
            </w:r>
            <w:r>
              <w:rPr>
                <w:rStyle w:val="7"/>
                <w:rFonts w:hint="eastAsia" w:ascii="宋体" w:hAnsi="宋体"/>
                <w:color w:val="000000"/>
                <w:sz w:val="18"/>
                <w:u w:val="none"/>
              </w:rPr>
              <w:t>消防安全设施每年进行1次全面检测，</w:t>
            </w:r>
            <w:r>
              <w:rPr>
                <w:rStyle w:val="7"/>
                <w:rFonts w:ascii="宋体" w:hAnsi="宋体"/>
                <w:color w:val="000000"/>
                <w:sz w:val="18"/>
                <w:u w:val="none"/>
              </w:rPr>
              <w:t>以</w:t>
            </w:r>
            <w:r>
              <w:rPr>
                <w:rStyle w:val="7"/>
                <w:rFonts w:hint="eastAsia" w:ascii="宋体" w:hAnsi="宋体"/>
                <w:color w:val="000000"/>
                <w:sz w:val="18"/>
                <w:u w:val="none"/>
              </w:rPr>
              <w:t>确保完好有效。</w:t>
            </w:r>
          </w:p>
        </w:tc>
        <w:tc>
          <w:tcPr>
            <w:tcW w:w="738" w:type="dxa"/>
            <w:noWrap/>
            <w:vAlign w:val="center"/>
          </w:tcPr>
          <w:p>
            <w:pPr>
              <w:spacing w:line="340" w:lineRule="exact"/>
              <w:jc w:val="center"/>
              <w:rPr>
                <w:rStyle w:val="7"/>
                <w:rFonts w:ascii="宋体" w:hAnsi="宋体" w:cs="宋体"/>
                <w:color w:val="000000"/>
                <w:sz w:val="18"/>
                <w:u w:val="none"/>
              </w:rPr>
            </w:pPr>
            <w:r>
              <w:rPr>
                <w:rStyle w:val="7"/>
                <w:rFonts w:ascii="宋体" w:hAnsi="宋体" w:cs="宋体"/>
                <w:color w:val="000000"/>
                <w:sz w:val="18"/>
                <w:u w:val="none"/>
              </w:rPr>
              <w:t>10</w:t>
            </w:r>
          </w:p>
        </w:tc>
        <w:tc>
          <w:tcPr>
            <w:tcW w:w="785" w:type="dxa"/>
            <w:noWrap/>
            <w:vAlign w:val="top"/>
          </w:tcPr>
          <w:p>
            <w:pPr>
              <w:spacing w:line="340" w:lineRule="exact"/>
              <w:jc w:val="center"/>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noWrap/>
            <w:vAlign w:val="center"/>
          </w:tcPr>
          <w:p>
            <w:pPr>
              <w:spacing w:line="340" w:lineRule="exact"/>
              <w:jc w:val="center"/>
              <w:rPr>
                <w:rStyle w:val="7"/>
                <w:rFonts w:ascii="黑体" w:hAnsi="黑体" w:eastAsia="黑体"/>
                <w:color w:val="000000"/>
                <w:sz w:val="18"/>
                <w:u w:val="none"/>
              </w:rPr>
            </w:pPr>
          </w:p>
        </w:tc>
        <w:tc>
          <w:tcPr>
            <w:tcW w:w="10177" w:type="dxa"/>
            <w:noWrap/>
            <w:vAlign w:val="top"/>
          </w:tcPr>
          <w:p>
            <w:pPr>
              <w:spacing w:line="340" w:lineRule="exact"/>
              <w:rPr>
                <w:rStyle w:val="7"/>
                <w:rFonts w:ascii="宋体" w:hAnsi="宋体"/>
                <w:color w:val="000000"/>
                <w:sz w:val="18"/>
                <w:u w:val="none"/>
              </w:rPr>
            </w:pPr>
            <w:r>
              <w:rPr>
                <w:rStyle w:val="7"/>
                <w:rFonts w:hint="eastAsia" w:ascii="宋体" w:hAnsi="宋体"/>
                <w:color w:val="000000"/>
                <w:sz w:val="18"/>
                <w:u w:val="none"/>
              </w:rPr>
              <w:t>机构每半年开展1次消防演练和各类应急预案演练；</w:t>
            </w:r>
            <w:r>
              <w:rPr>
                <w:rStyle w:val="7"/>
                <w:rFonts w:ascii="宋体" w:hAnsi="宋体"/>
                <w:color w:val="000000"/>
                <w:sz w:val="18"/>
                <w:u w:val="none"/>
              </w:rPr>
              <w:t>每</w:t>
            </w:r>
            <w:r>
              <w:rPr>
                <w:rStyle w:val="7"/>
                <w:rFonts w:hint="eastAsia" w:ascii="宋体" w:hAnsi="宋体"/>
                <w:color w:val="000000"/>
                <w:sz w:val="18"/>
                <w:u w:val="none"/>
              </w:rPr>
              <w:t>季度至少开展1次安全教育培训；</w:t>
            </w:r>
            <w:r>
              <w:rPr>
                <w:rStyle w:val="7"/>
                <w:rFonts w:ascii="宋体" w:hAnsi="宋体"/>
                <w:color w:val="000000"/>
                <w:sz w:val="18"/>
                <w:u w:val="none"/>
              </w:rPr>
              <w:t>每月</w:t>
            </w:r>
            <w:r>
              <w:rPr>
                <w:rStyle w:val="7"/>
                <w:rFonts w:hint="eastAsia" w:ascii="宋体" w:hAnsi="宋体"/>
                <w:color w:val="000000"/>
                <w:sz w:val="18"/>
                <w:u w:val="none"/>
              </w:rPr>
              <w:t>至少组织1次防火检查；</w:t>
            </w:r>
            <w:r>
              <w:rPr>
                <w:rStyle w:val="7"/>
                <w:rFonts w:ascii="宋体" w:hAnsi="宋体"/>
                <w:color w:val="000000"/>
                <w:sz w:val="18"/>
                <w:u w:val="none"/>
              </w:rPr>
              <w:t>白天</w:t>
            </w:r>
            <w:r>
              <w:rPr>
                <w:rStyle w:val="7"/>
                <w:rFonts w:hint="eastAsia" w:ascii="宋体" w:hAnsi="宋体"/>
                <w:color w:val="000000"/>
                <w:sz w:val="18"/>
                <w:u w:val="none"/>
              </w:rPr>
              <w:t>防火巡查、</w:t>
            </w:r>
            <w:r>
              <w:rPr>
                <w:rStyle w:val="7"/>
                <w:rFonts w:ascii="宋体" w:hAnsi="宋体"/>
                <w:color w:val="000000"/>
                <w:sz w:val="18"/>
                <w:u w:val="none"/>
              </w:rPr>
              <w:t>夜间</w:t>
            </w:r>
            <w:r>
              <w:rPr>
                <w:rStyle w:val="7"/>
                <w:rFonts w:hint="eastAsia" w:ascii="宋体" w:hAnsi="宋体"/>
                <w:color w:val="000000"/>
                <w:sz w:val="18"/>
                <w:u w:val="none"/>
              </w:rPr>
              <w:t>防火巡查每日各不少于2次。</w:t>
            </w:r>
            <w:r>
              <w:rPr>
                <w:rStyle w:val="7"/>
                <w:rFonts w:ascii="宋体" w:hAnsi="宋体"/>
                <w:color w:val="000000"/>
                <w:sz w:val="18"/>
                <w:u w:val="none"/>
              </w:rPr>
              <w:t>演练</w:t>
            </w:r>
            <w:r>
              <w:rPr>
                <w:rStyle w:val="7"/>
                <w:rFonts w:hint="eastAsia" w:ascii="宋体" w:hAnsi="宋体"/>
                <w:color w:val="000000"/>
                <w:sz w:val="18"/>
                <w:u w:val="none"/>
              </w:rPr>
              <w:t>及检查工作应保持记录。</w:t>
            </w:r>
          </w:p>
        </w:tc>
        <w:tc>
          <w:tcPr>
            <w:tcW w:w="738" w:type="dxa"/>
            <w:noWrap/>
            <w:vAlign w:val="center"/>
          </w:tcPr>
          <w:p>
            <w:pPr>
              <w:spacing w:line="340" w:lineRule="exact"/>
              <w:jc w:val="center"/>
              <w:rPr>
                <w:rStyle w:val="7"/>
                <w:rFonts w:ascii="宋体" w:hAnsi="宋体" w:cs="宋体"/>
                <w:color w:val="000000"/>
                <w:sz w:val="18"/>
                <w:u w:val="none"/>
              </w:rPr>
            </w:pPr>
            <w:r>
              <w:rPr>
                <w:rStyle w:val="7"/>
                <w:rFonts w:ascii="宋体" w:hAnsi="宋体" w:cs="宋体"/>
                <w:color w:val="000000"/>
                <w:sz w:val="18"/>
                <w:u w:val="none"/>
              </w:rPr>
              <w:t>10</w:t>
            </w:r>
          </w:p>
        </w:tc>
        <w:tc>
          <w:tcPr>
            <w:tcW w:w="785" w:type="dxa"/>
            <w:noWrap/>
            <w:vAlign w:val="top"/>
          </w:tcPr>
          <w:p>
            <w:pPr>
              <w:spacing w:line="340" w:lineRule="exact"/>
              <w:jc w:val="center"/>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vMerge w:val="continue"/>
            <w:noWrap/>
            <w:vAlign w:val="center"/>
          </w:tcPr>
          <w:p>
            <w:pPr>
              <w:spacing w:line="340" w:lineRule="exact"/>
              <w:jc w:val="center"/>
              <w:rPr>
                <w:rStyle w:val="7"/>
                <w:rFonts w:ascii="黑体" w:hAnsi="黑体" w:eastAsia="黑体"/>
                <w:color w:val="000000"/>
                <w:sz w:val="18"/>
                <w:u w:val="none"/>
              </w:rPr>
            </w:pPr>
          </w:p>
        </w:tc>
        <w:tc>
          <w:tcPr>
            <w:tcW w:w="10177" w:type="dxa"/>
            <w:noWrap/>
            <w:vAlign w:val="top"/>
          </w:tcPr>
          <w:p>
            <w:pPr>
              <w:spacing w:line="340" w:lineRule="exact"/>
              <w:rPr>
                <w:rStyle w:val="7"/>
                <w:color w:val="000000"/>
                <w:sz w:val="18"/>
                <w:u w:val="none"/>
              </w:rPr>
            </w:pPr>
            <w:r>
              <w:rPr>
                <w:rStyle w:val="7"/>
                <w:rFonts w:hint="eastAsia"/>
                <w:color w:val="000000"/>
                <w:sz w:val="18"/>
                <w:u w:val="none"/>
              </w:rPr>
              <w:t>机构建立并落实老年人信息安全管理制度，避免老年人信息泄露。</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center"/>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39" w:type="dxa"/>
            <w:vMerge w:val="restart"/>
            <w:noWrap/>
            <w:vAlign w:val="center"/>
          </w:tcPr>
          <w:p>
            <w:pPr>
              <w:spacing w:line="340" w:lineRule="exact"/>
              <w:jc w:val="center"/>
              <w:rPr>
                <w:rFonts w:ascii="黑体" w:hAnsi="黑体" w:eastAsia="黑体" w:cs="宋体"/>
                <w:color w:val="000000"/>
                <w:sz w:val="18"/>
                <w:szCs w:val="21"/>
              </w:rPr>
            </w:pPr>
            <w:r>
              <w:rPr>
                <w:rFonts w:ascii="黑体" w:hAnsi="黑体" w:eastAsia="黑体" w:cs="宋体"/>
                <w:color w:val="000000"/>
                <w:sz w:val="18"/>
                <w:szCs w:val="21"/>
              </w:rPr>
              <w:t>2.2</w:t>
            </w:r>
          </w:p>
          <w:p>
            <w:pPr>
              <w:spacing w:line="34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护理业务管理</w:t>
            </w:r>
          </w:p>
          <w:p>
            <w:pPr>
              <w:spacing w:line="340" w:lineRule="exact"/>
              <w:jc w:val="center"/>
              <w:rPr>
                <w:rFonts w:ascii="黑体" w:hAnsi="黑体" w:eastAsia="黑体" w:cs="宋体"/>
                <w:color w:val="000000"/>
                <w:sz w:val="18"/>
                <w:szCs w:val="21"/>
              </w:rPr>
            </w:pPr>
            <w:r>
              <w:rPr>
                <w:rFonts w:ascii="黑体" w:hAnsi="黑体" w:eastAsia="黑体" w:cs="宋体"/>
                <w:color w:val="000000"/>
                <w:sz w:val="18"/>
                <w:szCs w:val="21"/>
              </w:rPr>
              <w:t>20分</w:t>
            </w:r>
          </w:p>
        </w:tc>
        <w:tc>
          <w:tcPr>
            <w:tcW w:w="10177" w:type="dxa"/>
            <w:noWrap/>
            <w:vAlign w:val="top"/>
          </w:tcPr>
          <w:p>
            <w:pPr>
              <w:spacing w:line="340" w:lineRule="exact"/>
              <w:jc w:val="left"/>
              <w:rPr>
                <w:rStyle w:val="7"/>
                <w:rFonts w:ascii="宋体" w:hAnsi="宋体" w:cs="宋体"/>
                <w:color w:val="000000"/>
                <w:sz w:val="18"/>
                <w:u w:val="none"/>
              </w:rPr>
            </w:pPr>
            <w:r>
              <w:rPr>
                <w:rFonts w:hint="eastAsia"/>
                <w:color w:val="000000"/>
                <w:sz w:val="18"/>
              </w:rPr>
              <w:t>机构按责任制护理模式进行管理，包括不限于是否执行责任制排班，是否制定责任制护理工作职责及内容，老年人对责任护理员能知晓；失智老年人是否设专区提供服务。</w:t>
            </w:r>
          </w:p>
        </w:tc>
        <w:tc>
          <w:tcPr>
            <w:tcW w:w="738" w:type="dxa"/>
            <w:noWrap/>
            <w:vAlign w:val="center"/>
          </w:tcPr>
          <w:p>
            <w:pPr>
              <w:spacing w:line="340" w:lineRule="exact"/>
              <w:jc w:val="center"/>
              <w:rPr>
                <w:rStyle w:val="7"/>
                <w:rFonts w:ascii="宋体" w:hAnsi="宋体" w:cs="宋体"/>
                <w:color w:val="000000"/>
                <w:sz w:val="18"/>
                <w:u w:val="none"/>
              </w:rPr>
            </w:pPr>
            <w:r>
              <w:rPr>
                <w:rStyle w:val="7"/>
                <w:rFonts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40" w:lineRule="exact"/>
              <w:jc w:val="left"/>
              <w:rPr>
                <w:color w:val="000000"/>
                <w:sz w:val="18"/>
              </w:rPr>
            </w:pPr>
            <w:r>
              <w:rPr>
                <w:rFonts w:hint="eastAsia"/>
                <w:color w:val="000000"/>
                <w:sz w:val="18"/>
              </w:rPr>
              <w:t>机构对老年人建立了护理个案计划，提供24小时生活照料服务</w:t>
            </w:r>
            <w:r>
              <w:rPr>
                <w:color w:val="000000"/>
                <w:sz w:val="18"/>
              </w:rPr>
              <w:t>并</w:t>
            </w:r>
            <w:r>
              <w:rPr>
                <w:rFonts w:hint="eastAsia"/>
                <w:color w:val="000000"/>
                <w:sz w:val="18"/>
              </w:rPr>
              <w:t>按计划100</w:t>
            </w:r>
            <w:r>
              <w:rPr>
                <w:color w:val="000000"/>
                <w:sz w:val="18"/>
              </w:rPr>
              <w:t>%落实</w:t>
            </w:r>
            <w:r>
              <w:rPr>
                <w:rFonts w:hint="eastAsia"/>
                <w:color w:val="000000"/>
                <w:sz w:val="18"/>
              </w:rPr>
              <w:t>护理项目及其要求。</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40" w:lineRule="exact"/>
              <w:jc w:val="left"/>
              <w:rPr>
                <w:color w:val="000000"/>
                <w:sz w:val="18"/>
              </w:rPr>
            </w:pPr>
            <w:r>
              <w:rPr>
                <w:rStyle w:val="7"/>
                <w:rFonts w:hint="eastAsia" w:ascii="宋体" w:hAnsi="宋体" w:cs="宋体"/>
                <w:color w:val="000000"/>
                <w:sz w:val="18"/>
                <w:u w:val="none"/>
              </w:rPr>
              <w:t>护理人员</w:t>
            </w:r>
            <w:r>
              <w:rPr>
                <w:rFonts w:hint="eastAsia"/>
                <w:color w:val="000000"/>
                <w:sz w:val="18"/>
                <w:szCs w:val="21"/>
              </w:rPr>
              <w:t>掌握护理对象一般资料，如：</w:t>
            </w:r>
            <w:r>
              <w:rPr>
                <w:rFonts w:hint="eastAsia"/>
                <w:color w:val="000000"/>
                <w:sz w:val="18"/>
              </w:rPr>
              <w:t>老人</w:t>
            </w:r>
            <w:r>
              <w:rPr>
                <w:rFonts w:hint="eastAsia"/>
                <w:color w:val="000000"/>
                <w:sz w:val="18"/>
                <w:szCs w:val="21"/>
              </w:rPr>
              <w:t>姓名、年龄、疾病诊断、护理级别、饮食习惯、生活个人爱好、心理情况、家庭情况等。</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40" w:lineRule="exact"/>
              <w:rPr>
                <w:rStyle w:val="7"/>
                <w:rFonts w:ascii="宋体" w:hAnsi="宋体" w:cs="宋体"/>
                <w:color w:val="000000"/>
                <w:sz w:val="18"/>
                <w:u w:val="none"/>
              </w:rPr>
            </w:pPr>
            <w:r>
              <w:rPr>
                <w:rFonts w:hint="eastAsia"/>
                <w:color w:val="000000"/>
                <w:sz w:val="18"/>
              </w:rPr>
              <w:t>养老机构建立老年人常见疾病</w:t>
            </w:r>
            <w:r>
              <w:rPr>
                <w:rFonts w:hint="eastAsia"/>
                <w:color w:val="000000"/>
                <w:sz w:val="18"/>
                <w:szCs w:val="21"/>
              </w:rPr>
              <w:t>如：冠心病、糖尿病、脑梗塞后遗症、慢性伤口/造口/失禁等</w:t>
            </w:r>
            <w:r>
              <w:rPr>
                <w:rFonts w:hint="eastAsia"/>
                <w:color w:val="000000"/>
                <w:sz w:val="18"/>
              </w:rPr>
              <w:t>护理常规并予以</w:t>
            </w:r>
            <w:r>
              <w:rPr>
                <w:rFonts w:hint="eastAsia"/>
                <w:color w:val="000000"/>
                <w:sz w:val="18"/>
                <w:szCs w:val="21"/>
              </w:rPr>
              <w:t>落实，无安全隐患。</w:t>
            </w:r>
          </w:p>
        </w:tc>
        <w:tc>
          <w:tcPr>
            <w:tcW w:w="738" w:type="dxa"/>
            <w:noWrap/>
            <w:vAlign w:val="center"/>
          </w:tcPr>
          <w:p>
            <w:pPr>
              <w:spacing w:line="340" w:lineRule="exact"/>
              <w:jc w:val="center"/>
              <w:rPr>
                <w:rStyle w:val="7"/>
                <w:rFonts w:ascii="宋体" w:hAnsi="宋体" w:cs="宋体"/>
                <w:color w:val="000000"/>
                <w:sz w:val="18"/>
                <w:u w:val="none"/>
              </w:rPr>
            </w:pPr>
            <w:r>
              <w:rPr>
                <w:rStyle w:val="7"/>
                <w:rFonts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939" w:type="dxa"/>
            <w:vMerge w:val="restart"/>
            <w:noWrap/>
            <w:vAlign w:val="center"/>
          </w:tcPr>
          <w:p>
            <w:pPr>
              <w:spacing w:line="317" w:lineRule="auto"/>
              <w:jc w:val="center"/>
              <w:rPr>
                <w:rStyle w:val="7"/>
                <w:rFonts w:ascii="黑体" w:hAnsi="黑体" w:eastAsia="黑体"/>
                <w:color w:val="000000"/>
                <w:sz w:val="18"/>
                <w:u w:val="none"/>
              </w:rPr>
            </w:pPr>
            <w:r>
              <w:rPr>
                <w:rStyle w:val="7"/>
                <w:rFonts w:ascii="黑体" w:hAnsi="黑体" w:eastAsia="黑体"/>
                <w:color w:val="000000"/>
                <w:sz w:val="18"/>
                <w:u w:val="none"/>
              </w:rPr>
              <w:t>2.3</w:t>
            </w:r>
          </w:p>
          <w:p>
            <w:pPr>
              <w:spacing w:line="317" w:lineRule="auto"/>
              <w:jc w:val="center"/>
              <w:rPr>
                <w:rStyle w:val="7"/>
                <w:rFonts w:ascii="黑体" w:hAnsi="黑体" w:eastAsia="黑体"/>
                <w:color w:val="000000"/>
                <w:sz w:val="18"/>
                <w:u w:val="none"/>
              </w:rPr>
            </w:pPr>
            <w:r>
              <w:rPr>
                <w:rStyle w:val="7"/>
                <w:rFonts w:hint="eastAsia" w:ascii="黑体" w:hAnsi="黑体" w:eastAsia="黑体"/>
                <w:color w:val="000000"/>
                <w:sz w:val="18"/>
                <w:u w:val="none"/>
              </w:rPr>
              <w:t>护理质量</w:t>
            </w:r>
          </w:p>
          <w:p>
            <w:pPr>
              <w:spacing w:line="340" w:lineRule="exact"/>
              <w:jc w:val="center"/>
              <w:rPr>
                <w:rFonts w:ascii="宋体" w:hAnsi="宋体" w:cs="宋体"/>
                <w:color w:val="000000"/>
                <w:sz w:val="18"/>
                <w:szCs w:val="21"/>
              </w:rPr>
            </w:pPr>
            <w:r>
              <w:rPr>
                <w:rStyle w:val="7"/>
                <w:rFonts w:ascii="黑体" w:hAnsi="黑体" w:eastAsia="黑体"/>
                <w:color w:val="000000"/>
                <w:sz w:val="18"/>
                <w:u w:val="none"/>
              </w:rPr>
              <w:t>30</w:t>
            </w:r>
            <w:r>
              <w:rPr>
                <w:rStyle w:val="7"/>
                <w:rFonts w:hint="eastAsia" w:ascii="黑体" w:hAnsi="黑体" w:eastAsia="黑体"/>
                <w:color w:val="000000"/>
                <w:sz w:val="18"/>
                <w:u w:val="none"/>
              </w:rPr>
              <w:t>分</w:t>
            </w:r>
          </w:p>
        </w:tc>
        <w:tc>
          <w:tcPr>
            <w:tcW w:w="10177" w:type="dxa"/>
            <w:noWrap/>
            <w:vAlign w:val="top"/>
          </w:tcPr>
          <w:p>
            <w:pPr>
              <w:spacing w:line="317" w:lineRule="auto"/>
              <w:rPr>
                <w:color w:val="000000"/>
                <w:sz w:val="18"/>
              </w:rPr>
            </w:pPr>
            <w:r>
              <w:rPr>
                <w:rFonts w:hint="eastAsia"/>
                <w:color w:val="000000"/>
                <w:sz w:val="18"/>
                <w:szCs w:val="21"/>
              </w:rPr>
              <w:t>机构制定并落实了对老年人实施限制性防护、使用尿不湿和鼻饲等护理措施的内部管理规程。管理规程内容是否包括：评估、使用登记、使用期观察、解除评估及其机构内部管理权限等，以防止滥用。若无入住老年人实施限制性防护、使用尿不湿和鼻饲等情况，但制定了内部管理规程，可视为自动符合条件。</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rPr>
            </w:pPr>
            <w:r>
              <w:rPr>
                <w:rFonts w:hint="eastAsia"/>
                <w:color w:val="000000"/>
                <w:sz w:val="18"/>
                <w:szCs w:val="21"/>
              </w:rPr>
              <w:t>机构正确悬挂各类相应护理等级标识及相关防跌到、防压疮、防坠床、防噎食等安全警示标识</w:t>
            </w:r>
            <w:r>
              <w:rPr>
                <w:rStyle w:val="7"/>
                <w:rFonts w:hint="eastAsia" w:ascii="宋体" w:hAnsi="宋体"/>
                <w:color w:val="000000"/>
                <w:sz w:val="18"/>
                <w:u w:val="none"/>
              </w:rPr>
              <w:t>。</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rPr>
            </w:pPr>
            <w:r>
              <w:rPr>
                <w:rFonts w:hint="eastAsia"/>
                <w:color w:val="000000"/>
                <w:sz w:val="18"/>
                <w:szCs w:val="21"/>
              </w:rPr>
              <w:t>老年人符合“三短六洁”标准要求，老年人床单位物品是否清洁并定期更换，老人居室环境是否整洁、无异味，公用区域老年人物品摆放是否标识清楚。</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rPr>
            </w:pPr>
            <w:r>
              <w:rPr>
                <w:rFonts w:hint="eastAsia"/>
                <w:color w:val="000000"/>
                <w:sz w:val="18"/>
                <w:szCs w:val="21"/>
              </w:rPr>
              <w:t>机构根据老年人治疗和病情康复的需要摆放正确卧位和规范使用防护用具如护床栏、防护垫，并及时实施预防措施。</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rPr>
            </w:pPr>
            <w:r>
              <w:rPr>
                <w:rFonts w:hint="eastAsia"/>
                <w:color w:val="000000"/>
                <w:sz w:val="18"/>
                <w:szCs w:val="21"/>
              </w:rPr>
              <w:t>机构对不能自主翻身及存在压疮高风险的老年人，及时的采取相应的护理措施和预防措施，落实巡查制度，有巡查和翻身记录。</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40" w:lineRule="exact"/>
              <w:rPr>
                <w:color w:val="000000"/>
                <w:sz w:val="18"/>
              </w:rPr>
            </w:pPr>
            <w:r>
              <w:rPr>
                <w:rFonts w:hint="eastAsia"/>
                <w:color w:val="000000"/>
                <w:sz w:val="18"/>
                <w:szCs w:val="21"/>
              </w:rPr>
              <w:t>机构建立并落实管道管理规范，管道位置、标示是否正确，引流是否通畅，老人和家属是否知晓留置管道的目的并配合。若无该情况，但制定了相应的管理规范，可视为自动符合条件。</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00" w:lineRule="exact"/>
              <w:jc w:val="center"/>
              <w:rPr>
                <w:rStyle w:val="7"/>
                <w:rFonts w:ascii="黑体" w:hAnsi="黑体" w:eastAsia="黑体"/>
                <w:color w:val="000000"/>
                <w:sz w:val="18"/>
                <w:u w:val="none"/>
              </w:rPr>
            </w:pPr>
            <w:r>
              <w:rPr>
                <w:rStyle w:val="7"/>
                <w:rFonts w:hint="eastAsia" w:ascii="黑体" w:hAnsi="黑体" w:eastAsia="黑体"/>
                <w:color w:val="000000"/>
                <w:sz w:val="18"/>
                <w:u w:val="none"/>
              </w:rPr>
              <w:t>2.4</w:t>
            </w:r>
          </w:p>
          <w:p>
            <w:pPr>
              <w:spacing w:line="300" w:lineRule="exact"/>
              <w:jc w:val="center"/>
              <w:rPr>
                <w:rStyle w:val="7"/>
                <w:rFonts w:ascii="黑体" w:hAnsi="黑体" w:eastAsia="黑体"/>
                <w:color w:val="000000"/>
                <w:sz w:val="18"/>
                <w:u w:val="none"/>
              </w:rPr>
            </w:pPr>
            <w:r>
              <w:rPr>
                <w:rStyle w:val="7"/>
                <w:rFonts w:hint="eastAsia" w:ascii="黑体" w:hAnsi="黑体" w:eastAsia="黑体"/>
                <w:color w:val="000000"/>
                <w:sz w:val="18"/>
                <w:u w:val="none"/>
              </w:rPr>
              <w:t>护理安全</w:t>
            </w:r>
          </w:p>
          <w:p>
            <w:pPr>
              <w:spacing w:line="340" w:lineRule="exact"/>
              <w:jc w:val="center"/>
              <w:rPr>
                <w:rFonts w:ascii="宋体" w:hAnsi="宋体" w:cs="宋体"/>
                <w:color w:val="000000"/>
                <w:sz w:val="18"/>
                <w:szCs w:val="21"/>
              </w:rPr>
            </w:pPr>
            <w:r>
              <w:rPr>
                <w:rFonts w:hint="eastAsia" w:ascii="宋体" w:hAnsi="宋体" w:cs="宋体"/>
                <w:color w:val="000000"/>
                <w:sz w:val="18"/>
                <w:szCs w:val="21"/>
              </w:rPr>
              <w:t>50分</w:t>
            </w:r>
          </w:p>
        </w:tc>
        <w:tc>
          <w:tcPr>
            <w:tcW w:w="10177" w:type="dxa"/>
            <w:noWrap/>
            <w:vAlign w:val="top"/>
          </w:tcPr>
          <w:p>
            <w:pPr>
              <w:spacing w:line="317" w:lineRule="auto"/>
              <w:rPr>
                <w:color w:val="000000"/>
                <w:sz w:val="18"/>
                <w:szCs w:val="21"/>
              </w:rPr>
            </w:pPr>
            <w:r>
              <w:rPr>
                <w:rFonts w:hint="eastAsia"/>
                <w:color w:val="000000"/>
                <w:sz w:val="18"/>
                <w:szCs w:val="21"/>
              </w:rPr>
              <w:t>机构建立并落实老年人身份查对制度，护理操作是否落实“三查八对”。</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21"/>
              </w:rPr>
            </w:pPr>
            <w:r>
              <w:rPr>
                <w:rFonts w:hint="eastAsia"/>
                <w:color w:val="000000"/>
                <w:sz w:val="18"/>
                <w:szCs w:val="21"/>
              </w:rPr>
              <w:t>机构建立相应的医嘱查对制度和执行制度，并按要求落实，护士执行医嘱后能及时签全名及执行时间，字迹清楚能辨认，非抢救时不执行口头医嘱。</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21"/>
              </w:rPr>
            </w:pPr>
            <w:r>
              <w:rPr>
                <w:rFonts w:hint="eastAsia"/>
                <w:color w:val="000000"/>
                <w:sz w:val="18"/>
                <w:szCs w:val="21"/>
              </w:rPr>
              <w:t>机构建立并落实老年人转送、请假外出流程，确保转送过程中老人安全及外出交接。</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21"/>
              </w:rPr>
            </w:pPr>
            <w:r>
              <w:rPr>
                <w:rFonts w:hint="eastAsia"/>
                <w:color w:val="000000"/>
                <w:sz w:val="18"/>
                <w:szCs w:val="21"/>
              </w:rPr>
              <w:t>护理操作及讨论病情时保护老年人隐私，操作时无不必要的暴露。</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40" w:lineRule="exact"/>
              <w:rPr>
                <w:color w:val="000000"/>
                <w:sz w:val="18"/>
                <w:szCs w:val="21"/>
              </w:rPr>
            </w:pPr>
            <w:r>
              <w:rPr>
                <w:rFonts w:hint="eastAsia"/>
                <w:color w:val="000000"/>
                <w:sz w:val="18"/>
                <w:szCs w:val="21"/>
              </w:rPr>
              <w:t>护理站、治疗室等工作间按“五常法”管理，物品摆放有序，洁污分开。各类物品分类、定位摆放有标识。标示有效期限的物品按使用先后摆放。</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17" w:lineRule="auto"/>
              <w:jc w:val="center"/>
              <w:rPr>
                <w:rStyle w:val="7"/>
                <w:rFonts w:ascii="黑体" w:hAnsi="黑体" w:eastAsia="黑体"/>
                <w:color w:val="000000"/>
                <w:sz w:val="18"/>
                <w:u w:val="none"/>
              </w:rPr>
            </w:pPr>
            <w:r>
              <w:rPr>
                <w:rStyle w:val="7"/>
                <w:rFonts w:ascii="黑体" w:hAnsi="黑体" w:eastAsia="黑体"/>
                <w:color w:val="000000"/>
                <w:sz w:val="18"/>
                <w:u w:val="none"/>
              </w:rPr>
              <w:t>2.5</w:t>
            </w:r>
          </w:p>
          <w:p>
            <w:pPr>
              <w:spacing w:line="317" w:lineRule="auto"/>
              <w:jc w:val="center"/>
              <w:rPr>
                <w:rStyle w:val="7"/>
                <w:rFonts w:ascii="黑体" w:hAnsi="黑体" w:eastAsia="黑体"/>
                <w:color w:val="000000"/>
                <w:sz w:val="18"/>
                <w:u w:val="none"/>
              </w:rPr>
            </w:pPr>
            <w:r>
              <w:rPr>
                <w:rStyle w:val="7"/>
                <w:rFonts w:hint="eastAsia" w:ascii="黑体" w:hAnsi="黑体" w:eastAsia="黑体"/>
                <w:color w:val="000000"/>
                <w:sz w:val="18"/>
                <w:u w:val="none"/>
              </w:rPr>
              <w:t>质量检查与改进</w:t>
            </w:r>
          </w:p>
          <w:p>
            <w:pPr>
              <w:spacing w:line="340" w:lineRule="exact"/>
              <w:jc w:val="center"/>
              <w:rPr>
                <w:rFonts w:ascii="宋体" w:hAnsi="宋体" w:cs="宋体"/>
                <w:color w:val="000000"/>
                <w:sz w:val="18"/>
                <w:szCs w:val="21"/>
              </w:rPr>
            </w:pPr>
            <w:r>
              <w:rPr>
                <w:rStyle w:val="7"/>
                <w:rFonts w:ascii="黑体" w:hAnsi="黑体" w:eastAsia="黑体"/>
                <w:color w:val="000000"/>
                <w:sz w:val="18"/>
                <w:u w:val="none"/>
              </w:rPr>
              <w:t>20分</w:t>
            </w:r>
          </w:p>
        </w:tc>
        <w:tc>
          <w:tcPr>
            <w:tcW w:w="10177" w:type="dxa"/>
            <w:noWrap/>
            <w:vAlign w:val="top"/>
          </w:tcPr>
          <w:p>
            <w:pPr>
              <w:spacing w:line="317" w:lineRule="auto"/>
              <w:rPr>
                <w:color w:val="000000"/>
                <w:sz w:val="18"/>
                <w:szCs w:val="21"/>
              </w:rPr>
            </w:pPr>
            <w:r>
              <w:rPr>
                <w:rStyle w:val="7"/>
                <w:rFonts w:hint="eastAsia" w:ascii="宋体" w:hAnsi="宋体"/>
                <w:color w:val="000000"/>
                <w:sz w:val="18"/>
                <w:u w:val="none"/>
              </w:rPr>
              <w:t>机构建立并落实护理组长、</w:t>
            </w:r>
            <w:r>
              <w:rPr>
                <w:rStyle w:val="7"/>
                <w:rFonts w:ascii="宋体" w:hAnsi="宋体"/>
                <w:color w:val="000000"/>
                <w:sz w:val="18"/>
                <w:u w:val="none"/>
              </w:rPr>
              <w:t>护士</w:t>
            </w:r>
            <w:r>
              <w:rPr>
                <w:rStyle w:val="7"/>
                <w:rFonts w:hint="eastAsia" w:ascii="宋体" w:hAnsi="宋体"/>
                <w:color w:val="000000"/>
                <w:sz w:val="18"/>
                <w:u w:val="none"/>
              </w:rPr>
              <w:t>、</w:t>
            </w:r>
            <w:r>
              <w:rPr>
                <w:rStyle w:val="7"/>
                <w:rFonts w:ascii="宋体" w:hAnsi="宋体"/>
                <w:color w:val="000000"/>
                <w:sz w:val="18"/>
                <w:u w:val="none"/>
              </w:rPr>
              <w:t>护理</w:t>
            </w:r>
            <w:r>
              <w:rPr>
                <w:rStyle w:val="7"/>
                <w:rFonts w:hint="eastAsia" w:ascii="宋体" w:hAnsi="宋体"/>
                <w:color w:val="000000"/>
                <w:sz w:val="18"/>
                <w:u w:val="none"/>
              </w:rPr>
              <w:t>主管等各层级查房制度，</w:t>
            </w:r>
            <w:r>
              <w:rPr>
                <w:rStyle w:val="7"/>
                <w:rFonts w:ascii="宋体" w:hAnsi="宋体"/>
                <w:color w:val="000000"/>
                <w:sz w:val="18"/>
                <w:u w:val="none"/>
              </w:rPr>
              <w:t>其中</w:t>
            </w:r>
            <w:r>
              <w:rPr>
                <w:rStyle w:val="7"/>
                <w:rFonts w:hint="eastAsia" w:ascii="宋体" w:hAnsi="宋体"/>
                <w:color w:val="000000"/>
                <w:sz w:val="18"/>
                <w:u w:val="none"/>
              </w:rPr>
              <w:t>护理组长查房每周不少于1次、</w:t>
            </w:r>
            <w:r>
              <w:rPr>
                <w:rStyle w:val="7"/>
                <w:rFonts w:ascii="宋体" w:hAnsi="宋体"/>
                <w:color w:val="000000"/>
                <w:sz w:val="18"/>
                <w:u w:val="none"/>
              </w:rPr>
              <w:t>护理</w:t>
            </w:r>
            <w:r>
              <w:rPr>
                <w:rStyle w:val="7"/>
                <w:rFonts w:hint="eastAsia" w:ascii="宋体" w:hAnsi="宋体"/>
                <w:color w:val="000000"/>
                <w:sz w:val="18"/>
                <w:u w:val="none"/>
              </w:rPr>
              <w:t>主管查房每月不少于1次；</w:t>
            </w:r>
            <w:r>
              <w:rPr>
                <w:rStyle w:val="7"/>
                <w:rFonts w:ascii="宋体" w:hAnsi="宋体"/>
                <w:color w:val="000000"/>
                <w:sz w:val="18"/>
                <w:u w:val="none"/>
              </w:rPr>
              <w:t>查房</w:t>
            </w:r>
            <w:r>
              <w:rPr>
                <w:rStyle w:val="7"/>
                <w:rFonts w:hint="eastAsia" w:ascii="宋体" w:hAnsi="宋体"/>
                <w:color w:val="000000"/>
                <w:sz w:val="18"/>
                <w:u w:val="none"/>
              </w:rPr>
              <w:t>记录清晰明确，</w:t>
            </w:r>
            <w:r>
              <w:rPr>
                <w:rStyle w:val="7"/>
                <w:rFonts w:ascii="宋体" w:hAnsi="宋体"/>
                <w:color w:val="000000"/>
                <w:sz w:val="18"/>
                <w:u w:val="none"/>
              </w:rPr>
              <w:t>并</w:t>
            </w:r>
            <w:r>
              <w:rPr>
                <w:rStyle w:val="7"/>
                <w:rFonts w:hint="eastAsia" w:ascii="宋体" w:hAnsi="宋体"/>
                <w:color w:val="000000"/>
                <w:sz w:val="18"/>
                <w:u w:val="none"/>
              </w:rPr>
              <w:t>保管期限不少于3年。</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21"/>
              </w:rPr>
            </w:pPr>
            <w:r>
              <w:rPr>
                <w:rStyle w:val="7"/>
                <w:rFonts w:hint="eastAsia"/>
                <w:color w:val="000000"/>
                <w:sz w:val="18"/>
                <w:u w:val="none"/>
              </w:rPr>
              <w:t>机构建立并按要求执行交接班制度，是否执行早会交班、床边交接班；交班记录清楚，有重点，并且重点事情交代记录具有连续性。所有记录保管期限不少于 3 年。</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21"/>
              </w:rPr>
            </w:pPr>
            <w:r>
              <w:rPr>
                <w:rFonts w:hint="eastAsia"/>
                <w:color w:val="000000"/>
                <w:sz w:val="18"/>
                <w:szCs w:val="21"/>
              </w:rPr>
              <w:t>机构护理文件质量管理符合规范：包括不限于护理文书记录单、医嘱单、体温单、护理病历及医生病历均符合医疗文书书写规范。</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21"/>
              </w:rPr>
            </w:pPr>
            <w:r>
              <w:rPr>
                <w:rFonts w:hint="eastAsia"/>
                <w:color w:val="000000"/>
                <w:sz w:val="18"/>
                <w:szCs w:val="21"/>
              </w:rPr>
              <w:t>机构建立护理工作质量检查制度及护理质量缺陷管理制度：各级定期进行质量检查及安全分析，并且做好记录。</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17" w:lineRule="auto"/>
              <w:jc w:val="center"/>
              <w:rPr>
                <w:rStyle w:val="7"/>
                <w:rFonts w:ascii="黑体" w:hAnsi="黑体" w:eastAsia="黑体"/>
                <w:color w:val="000000"/>
                <w:sz w:val="18"/>
                <w:u w:val="none"/>
              </w:rPr>
            </w:pPr>
            <w:r>
              <w:rPr>
                <w:rStyle w:val="7"/>
                <w:rFonts w:ascii="黑体" w:hAnsi="黑体" w:eastAsia="黑体"/>
                <w:color w:val="000000"/>
                <w:sz w:val="18"/>
                <w:u w:val="none"/>
              </w:rPr>
              <w:t>2.6</w:t>
            </w:r>
          </w:p>
          <w:p>
            <w:pPr>
              <w:spacing w:line="317" w:lineRule="auto"/>
              <w:jc w:val="center"/>
              <w:rPr>
                <w:rStyle w:val="7"/>
                <w:rFonts w:ascii="黑体" w:hAnsi="黑体" w:eastAsia="黑体"/>
                <w:color w:val="000000"/>
                <w:sz w:val="18"/>
                <w:u w:val="none"/>
              </w:rPr>
            </w:pPr>
            <w:r>
              <w:rPr>
                <w:rStyle w:val="7"/>
                <w:rFonts w:hint="eastAsia" w:ascii="黑体" w:hAnsi="黑体" w:eastAsia="黑体"/>
                <w:color w:val="000000"/>
                <w:sz w:val="18"/>
                <w:u w:val="none"/>
              </w:rPr>
              <w:t>药物管理</w:t>
            </w:r>
          </w:p>
          <w:p>
            <w:pPr>
              <w:spacing w:line="317" w:lineRule="auto"/>
              <w:jc w:val="center"/>
              <w:rPr>
                <w:rStyle w:val="7"/>
                <w:rFonts w:ascii="黑体" w:hAnsi="黑体" w:eastAsia="黑体"/>
                <w:color w:val="000000"/>
                <w:sz w:val="18"/>
                <w:u w:val="none"/>
              </w:rPr>
            </w:pPr>
            <w:r>
              <w:rPr>
                <w:rStyle w:val="7"/>
                <w:rFonts w:ascii="黑体" w:hAnsi="黑体" w:eastAsia="黑体"/>
                <w:color w:val="000000"/>
                <w:sz w:val="18"/>
                <w:u w:val="none"/>
              </w:rPr>
              <w:t>20</w:t>
            </w:r>
            <w:r>
              <w:rPr>
                <w:rStyle w:val="7"/>
                <w:rFonts w:hint="eastAsia" w:ascii="黑体" w:hAnsi="黑体" w:eastAsia="黑体"/>
                <w:color w:val="000000"/>
                <w:sz w:val="18"/>
                <w:u w:val="none"/>
              </w:rPr>
              <w:t>分</w:t>
            </w:r>
          </w:p>
          <w:p>
            <w:pPr>
              <w:spacing w:line="340" w:lineRule="exact"/>
              <w:jc w:val="center"/>
              <w:rPr>
                <w:rFonts w:ascii="宋体" w:hAnsi="宋体" w:cs="宋体"/>
                <w:color w:val="000000"/>
                <w:sz w:val="18"/>
                <w:szCs w:val="21"/>
              </w:rPr>
            </w:pPr>
          </w:p>
        </w:tc>
        <w:tc>
          <w:tcPr>
            <w:tcW w:w="10177" w:type="dxa"/>
            <w:noWrap/>
            <w:vAlign w:val="top"/>
          </w:tcPr>
          <w:p>
            <w:pPr>
              <w:spacing w:line="317" w:lineRule="auto"/>
              <w:rPr>
                <w:color w:val="000000"/>
                <w:sz w:val="18"/>
                <w:szCs w:val="18"/>
              </w:rPr>
            </w:pPr>
            <w:r>
              <w:rPr>
                <w:rFonts w:hint="eastAsia"/>
                <w:color w:val="000000"/>
                <w:sz w:val="18"/>
                <w:szCs w:val="18"/>
              </w:rPr>
              <w:t>护士基本掌握常用药品管理及使用特殊要求、基本掌握常用药品的不良反应，并密切观察用药后效果。</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18"/>
              </w:rPr>
            </w:pPr>
            <w:r>
              <w:rPr>
                <w:rFonts w:hint="eastAsia" w:ascii="Cambria" w:hAnsi="Cambria" w:cs="宋体"/>
                <w:color w:val="000000"/>
                <w:kern w:val="0"/>
                <w:sz w:val="18"/>
                <w:szCs w:val="18"/>
              </w:rPr>
              <w:t>机构对</w:t>
            </w:r>
            <w:r>
              <w:rPr>
                <w:rFonts w:hint="eastAsia" w:ascii="宋体" w:hAnsi="宋体" w:cs="宋体"/>
                <w:color w:val="000000"/>
                <w:kern w:val="0"/>
                <w:sz w:val="18"/>
                <w:szCs w:val="18"/>
              </w:rPr>
              <w:t>高危药品限量、定位、单独存放，使用专用标识，且标识醒目；</w:t>
            </w:r>
            <w:r>
              <w:rPr>
                <w:rFonts w:ascii="宋体" w:hAnsi="宋体" w:cs="宋体"/>
                <w:color w:val="000000"/>
                <w:kern w:val="0"/>
                <w:sz w:val="18"/>
                <w:szCs w:val="18"/>
              </w:rPr>
              <w:t>对</w:t>
            </w:r>
            <w:r>
              <w:rPr>
                <w:rFonts w:hint="eastAsia" w:ascii="宋体" w:hAnsi="宋体" w:cs="宋体"/>
                <w:color w:val="000000"/>
                <w:kern w:val="0"/>
                <w:sz w:val="18"/>
                <w:szCs w:val="18"/>
              </w:rPr>
              <w:t>机构自购的第二类精神药品是否按规范进行管理。</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18"/>
              </w:rPr>
            </w:pPr>
            <w:r>
              <w:rPr>
                <w:rStyle w:val="9"/>
                <w:rFonts w:hint="default"/>
                <w:sz w:val="18"/>
                <w:szCs w:val="18"/>
              </w:rPr>
              <w:t>对包装容易混淆的药品、一品多规或多剂型药物的存放有明晰的“警示标识”。</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color w:val="000000"/>
                <w:sz w:val="18"/>
                <w:szCs w:val="18"/>
              </w:rPr>
            </w:pPr>
            <w:r>
              <w:rPr>
                <w:rFonts w:hint="eastAsia" w:ascii="宋体" w:hAnsi="宋体" w:cs="宋体"/>
                <w:color w:val="000000"/>
                <w:sz w:val="18"/>
                <w:szCs w:val="18"/>
              </w:rPr>
              <w:t>对老人自备处方药品进行</w:t>
            </w:r>
            <w:r>
              <w:rPr>
                <w:rFonts w:ascii="宋体" w:hAnsi="宋体" w:cs="宋体"/>
                <w:color w:val="000000"/>
                <w:sz w:val="18"/>
                <w:szCs w:val="18"/>
              </w:rPr>
              <w:t>统一</w:t>
            </w:r>
            <w:r>
              <w:rPr>
                <w:rFonts w:hint="eastAsia" w:ascii="宋体" w:hAnsi="宋体" w:cs="宋体"/>
                <w:color w:val="000000"/>
                <w:sz w:val="18"/>
                <w:szCs w:val="18"/>
              </w:rPr>
              <w:t>登记、保管以及发放</w:t>
            </w:r>
            <w:r>
              <w:rPr>
                <w:rFonts w:hint="eastAsia" w:ascii="宋体" w:hAnsi="宋体" w:cs="宋体"/>
                <w:color w:val="000000"/>
                <w:kern w:val="0"/>
                <w:sz w:val="18"/>
                <w:szCs w:val="18"/>
              </w:rPr>
              <w:t>。冰箱药品标志明确、无混放，温度恒定，有监测记录（</w:t>
            </w:r>
            <w:r>
              <w:rPr>
                <w:rFonts w:ascii="宋体" w:hAnsi="宋体" w:cs="宋体"/>
                <w:color w:val="000000"/>
                <w:kern w:val="0"/>
                <w:sz w:val="18"/>
                <w:szCs w:val="18"/>
              </w:rPr>
              <w:t>每天</w:t>
            </w:r>
            <w:r>
              <w:rPr>
                <w:rFonts w:hint="eastAsia" w:ascii="宋体" w:hAnsi="宋体" w:cs="宋体"/>
                <w:color w:val="000000"/>
                <w:kern w:val="0"/>
                <w:sz w:val="18"/>
                <w:szCs w:val="18"/>
              </w:rPr>
              <w:t>二次）。</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80" w:lineRule="exact"/>
              <w:jc w:val="center"/>
              <w:rPr>
                <w:rFonts w:ascii="黑体" w:hAnsi="黑体" w:eastAsia="黑体" w:cs="宋体"/>
                <w:color w:val="000000"/>
                <w:sz w:val="18"/>
                <w:szCs w:val="21"/>
              </w:rPr>
            </w:pPr>
            <w:r>
              <w:rPr>
                <w:rFonts w:ascii="黑体" w:hAnsi="黑体" w:eastAsia="黑体" w:cs="宋体"/>
                <w:color w:val="000000"/>
                <w:sz w:val="18"/>
                <w:szCs w:val="21"/>
              </w:rPr>
              <w:t>2.7</w:t>
            </w:r>
          </w:p>
          <w:p>
            <w:pPr>
              <w:spacing w:line="380" w:lineRule="exact"/>
              <w:jc w:val="center"/>
              <w:rPr>
                <w:rFonts w:ascii="黑体" w:hAnsi="黑体" w:eastAsia="黑体" w:cs="宋体"/>
                <w:color w:val="000000"/>
                <w:sz w:val="18"/>
                <w:szCs w:val="21"/>
              </w:rPr>
            </w:pPr>
            <w:r>
              <w:rPr>
                <w:rFonts w:hint="eastAsia" w:ascii="黑体" w:hAnsi="黑体" w:eastAsia="黑体" w:cs="宋体"/>
                <w:color w:val="000000"/>
                <w:sz w:val="18"/>
                <w:szCs w:val="21"/>
              </w:rPr>
              <w:t>院内感染控制</w:t>
            </w:r>
          </w:p>
          <w:p>
            <w:pPr>
              <w:spacing w:line="380" w:lineRule="exact"/>
              <w:jc w:val="center"/>
              <w:rPr>
                <w:rFonts w:ascii="宋体" w:hAnsi="宋体" w:cs="宋体"/>
                <w:color w:val="000000"/>
                <w:sz w:val="18"/>
                <w:szCs w:val="21"/>
              </w:rPr>
            </w:pPr>
            <w:r>
              <w:rPr>
                <w:rFonts w:ascii="黑体" w:hAnsi="黑体" w:eastAsia="黑体" w:cs="宋体"/>
                <w:color w:val="000000"/>
                <w:sz w:val="18"/>
                <w:szCs w:val="21"/>
              </w:rPr>
              <w:t>35</w:t>
            </w:r>
            <w:r>
              <w:rPr>
                <w:rFonts w:hint="eastAsia" w:ascii="黑体" w:hAnsi="黑体" w:eastAsia="黑体" w:cs="宋体"/>
                <w:color w:val="000000"/>
                <w:sz w:val="18"/>
                <w:szCs w:val="21"/>
              </w:rPr>
              <w:t>分</w:t>
            </w:r>
          </w:p>
        </w:tc>
        <w:tc>
          <w:tcPr>
            <w:tcW w:w="10177" w:type="dxa"/>
            <w:noWrap/>
            <w:vAlign w:val="top"/>
          </w:tcPr>
          <w:p>
            <w:pPr>
              <w:widowControl/>
              <w:spacing w:line="380" w:lineRule="exact"/>
              <w:jc w:val="left"/>
              <w:textAlignment w:val="center"/>
              <w:rPr>
                <w:color w:val="000000"/>
                <w:sz w:val="18"/>
                <w:szCs w:val="21"/>
              </w:rPr>
            </w:pPr>
            <w:r>
              <w:rPr>
                <w:rFonts w:hint="eastAsia" w:ascii="宋体" w:hAnsi="宋体" w:cs="宋体"/>
                <w:color w:val="000000"/>
                <w:sz w:val="18"/>
                <w:szCs w:val="21"/>
              </w:rPr>
              <w:t>机构建立院内感染控制工作小组，</w:t>
            </w:r>
            <w:r>
              <w:rPr>
                <w:rFonts w:ascii="宋体" w:hAnsi="宋体" w:cs="宋体"/>
                <w:color w:val="000000"/>
                <w:sz w:val="18"/>
                <w:szCs w:val="21"/>
              </w:rPr>
              <w:t>制定</w:t>
            </w:r>
            <w:r>
              <w:rPr>
                <w:rFonts w:hint="eastAsia" w:ascii="宋体" w:hAnsi="宋体" w:cs="宋体"/>
                <w:color w:val="000000"/>
                <w:sz w:val="18"/>
                <w:szCs w:val="21"/>
              </w:rPr>
              <w:t>并实施院内感染控制预防、</w:t>
            </w:r>
            <w:r>
              <w:rPr>
                <w:rFonts w:ascii="宋体" w:hAnsi="宋体" w:cs="宋体"/>
                <w:color w:val="000000"/>
                <w:sz w:val="18"/>
                <w:szCs w:val="21"/>
              </w:rPr>
              <w:t>控制</w:t>
            </w:r>
            <w:r>
              <w:rPr>
                <w:rFonts w:hint="eastAsia" w:ascii="宋体" w:hAnsi="宋体" w:cs="宋体"/>
                <w:color w:val="000000"/>
                <w:sz w:val="18"/>
                <w:szCs w:val="21"/>
              </w:rPr>
              <w:t>、</w:t>
            </w:r>
            <w:r>
              <w:rPr>
                <w:rFonts w:ascii="宋体" w:hAnsi="宋体" w:cs="宋体"/>
                <w:color w:val="000000"/>
                <w:sz w:val="18"/>
                <w:szCs w:val="21"/>
              </w:rPr>
              <w:t>报告</w:t>
            </w:r>
            <w:r>
              <w:rPr>
                <w:rFonts w:hint="eastAsia" w:ascii="宋体" w:hAnsi="宋体" w:cs="宋体"/>
                <w:color w:val="000000"/>
                <w:sz w:val="18"/>
                <w:szCs w:val="21"/>
              </w:rPr>
              <w:t>和处置等相关制度。</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80" w:lineRule="exact"/>
              <w:jc w:val="left"/>
              <w:rPr>
                <w:color w:val="000000"/>
                <w:sz w:val="18"/>
                <w:szCs w:val="21"/>
              </w:rPr>
            </w:pPr>
            <w:r>
              <w:rPr>
                <w:rFonts w:hint="eastAsia"/>
                <w:color w:val="000000"/>
                <w:sz w:val="18"/>
                <w:szCs w:val="21"/>
              </w:rPr>
              <w:t>护理人员掌握手卫生重点环节。如落实各环节的手卫生措施、洗手操作规范。操作手套是否做到专人专用，避免交叉感染。</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80" w:lineRule="exact"/>
              <w:jc w:val="left"/>
              <w:rPr>
                <w:color w:val="000000"/>
                <w:sz w:val="18"/>
                <w:szCs w:val="21"/>
              </w:rPr>
            </w:pPr>
            <w:r>
              <w:rPr>
                <w:rFonts w:hint="eastAsia"/>
                <w:color w:val="000000"/>
                <w:sz w:val="18"/>
                <w:szCs w:val="21"/>
              </w:rPr>
              <w:t>遵守无菌操作原则操作。物品使用一人一份；</w:t>
            </w:r>
          </w:p>
          <w:p>
            <w:pPr>
              <w:spacing w:line="380" w:lineRule="exact"/>
              <w:jc w:val="left"/>
              <w:rPr>
                <w:color w:val="000000"/>
                <w:sz w:val="18"/>
                <w:szCs w:val="21"/>
              </w:rPr>
            </w:pPr>
            <w:r>
              <w:rPr>
                <w:rFonts w:hint="eastAsia"/>
                <w:color w:val="000000"/>
                <w:sz w:val="18"/>
                <w:szCs w:val="21"/>
              </w:rPr>
              <w:t>治疗盘有铺盘时间无过期，盘内药品包装符合要求；</w:t>
            </w:r>
          </w:p>
          <w:p>
            <w:pPr>
              <w:spacing w:line="380" w:lineRule="exact"/>
              <w:jc w:val="left"/>
              <w:rPr>
                <w:color w:val="000000"/>
                <w:sz w:val="18"/>
                <w:szCs w:val="21"/>
              </w:rPr>
            </w:pPr>
            <w:r>
              <w:rPr>
                <w:rFonts w:hint="eastAsia"/>
                <w:color w:val="000000"/>
                <w:sz w:val="18"/>
                <w:szCs w:val="21"/>
              </w:rPr>
              <w:t>棉签、复合碘开启后注明时间，无过期；配好的静脉用药2小时内使用；</w:t>
            </w:r>
          </w:p>
          <w:p>
            <w:pPr>
              <w:spacing w:line="380" w:lineRule="exact"/>
              <w:jc w:val="left"/>
              <w:rPr>
                <w:color w:val="000000"/>
                <w:sz w:val="18"/>
                <w:szCs w:val="21"/>
              </w:rPr>
            </w:pPr>
            <w:r>
              <w:rPr>
                <w:rFonts w:hint="eastAsia"/>
                <w:color w:val="000000"/>
                <w:sz w:val="18"/>
                <w:szCs w:val="21"/>
              </w:rPr>
              <w:t>启封溶媒不超过24小时；吸痰用物每日更换1-2次；干燥持物钳、无菌容器开启后4小时有效。</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80" w:lineRule="exact"/>
              <w:jc w:val="left"/>
              <w:rPr>
                <w:color w:val="000000"/>
                <w:sz w:val="18"/>
                <w:szCs w:val="21"/>
              </w:rPr>
            </w:pPr>
            <w:r>
              <w:rPr>
                <w:rFonts w:hint="eastAsia"/>
                <w:color w:val="000000"/>
                <w:sz w:val="18"/>
                <w:szCs w:val="21"/>
              </w:rPr>
              <w:t>无菌物品存放管理规范。无菌物品按日期先后摆放，灭菌标志明显、规范，无过期失效；存放区域清洁，无非无菌物品及杂物；无菌物品在存放时应保留大包装，不得直接置于地面。</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widowControl/>
              <w:spacing w:line="380" w:lineRule="exact"/>
              <w:jc w:val="left"/>
              <w:textAlignment w:val="center"/>
              <w:rPr>
                <w:color w:val="000000"/>
                <w:sz w:val="18"/>
                <w:szCs w:val="21"/>
              </w:rPr>
            </w:pPr>
            <w:r>
              <w:rPr>
                <w:rFonts w:hint="eastAsia"/>
                <w:color w:val="000000"/>
                <w:sz w:val="18"/>
                <w:szCs w:val="21"/>
              </w:rPr>
              <w:t>紫外线消毒登记及维护是否正确。</w:t>
            </w:r>
          </w:p>
          <w:p>
            <w:pPr>
              <w:widowControl/>
              <w:spacing w:line="380" w:lineRule="exact"/>
              <w:jc w:val="left"/>
              <w:textAlignment w:val="center"/>
              <w:rPr>
                <w:color w:val="000000"/>
                <w:sz w:val="18"/>
                <w:szCs w:val="21"/>
              </w:rPr>
            </w:pPr>
            <w:r>
              <w:rPr>
                <w:rFonts w:hint="eastAsia"/>
                <w:color w:val="000000"/>
                <w:sz w:val="18"/>
                <w:szCs w:val="21"/>
              </w:rPr>
              <w:t>落实紫外线消毒、强度监测、时间累计，并有记录；紫外线灯使用不超过1000小时。使用其他消毒方式（</w:t>
            </w:r>
            <w:r>
              <w:rPr>
                <w:color w:val="000000"/>
                <w:sz w:val="18"/>
                <w:szCs w:val="21"/>
              </w:rPr>
              <w:t>如</w:t>
            </w:r>
            <w:r>
              <w:rPr>
                <w:rFonts w:hint="eastAsia"/>
                <w:color w:val="000000"/>
                <w:sz w:val="18"/>
                <w:szCs w:val="21"/>
              </w:rPr>
              <w:t>空气消毒机等）</w:t>
            </w:r>
            <w:r>
              <w:rPr>
                <w:color w:val="000000"/>
                <w:sz w:val="18"/>
                <w:szCs w:val="21"/>
              </w:rPr>
              <w:t>应</w:t>
            </w:r>
            <w:r>
              <w:rPr>
                <w:rFonts w:hint="eastAsia"/>
                <w:color w:val="000000"/>
                <w:sz w:val="18"/>
                <w:szCs w:val="21"/>
              </w:rPr>
              <w:t>提供定期消毒效果有效性验证报告。</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widowControl/>
              <w:spacing w:line="380" w:lineRule="exact"/>
              <w:jc w:val="left"/>
              <w:textAlignment w:val="center"/>
              <w:rPr>
                <w:color w:val="000000"/>
                <w:sz w:val="18"/>
                <w:szCs w:val="21"/>
              </w:rPr>
            </w:pPr>
            <w:r>
              <w:rPr>
                <w:rFonts w:hint="eastAsia"/>
                <w:color w:val="000000"/>
                <w:sz w:val="18"/>
                <w:szCs w:val="21"/>
              </w:rPr>
              <w:t>落实重度失能老年人床单位每天湿扫；</w:t>
            </w:r>
            <w:r>
              <w:rPr>
                <w:color w:val="000000"/>
                <w:sz w:val="18"/>
                <w:szCs w:val="21"/>
              </w:rPr>
              <w:t>是否</w:t>
            </w:r>
            <w:r>
              <w:rPr>
                <w:rFonts w:hint="eastAsia"/>
                <w:color w:val="000000"/>
                <w:sz w:val="18"/>
                <w:szCs w:val="21"/>
              </w:rPr>
              <w:t>落实终末消毒。</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80" w:lineRule="exact"/>
              <w:jc w:val="left"/>
              <w:rPr>
                <w:color w:val="000000"/>
                <w:sz w:val="18"/>
                <w:szCs w:val="21"/>
              </w:rPr>
            </w:pPr>
            <w:r>
              <w:rPr>
                <w:rFonts w:hint="eastAsia"/>
                <w:color w:val="000000"/>
                <w:sz w:val="18"/>
                <w:szCs w:val="21"/>
              </w:rPr>
              <w:t>正确处理医疗垃圾。如医疗废物分类放置；锐器盒及时有效封口，封条项目完整，封口后锐器盒24小时内送出；有医疗废物交接、称重手续，并登记、签名。</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1939" w:type="dxa"/>
            <w:vMerge w:val="restart"/>
            <w:noWrap/>
            <w:vAlign w:val="center"/>
          </w:tcPr>
          <w:p>
            <w:pPr>
              <w:spacing w:line="320" w:lineRule="exact"/>
              <w:jc w:val="center"/>
              <w:rPr>
                <w:rStyle w:val="7"/>
                <w:rFonts w:ascii="黑体" w:hAnsi="黑体" w:eastAsia="黑体" w:cs="宋体"/>
                <w:color w:val="000000"/>
                <w:sz w:val="18"/>
                <w:u w:val="none"/>
              </w:rPr>
            </w:pPr>
            <w:r>
              <w:rPr>
                <w:rStyle w:val="7"/>
                <w:rFonts w:ascii="黑体" w:hAnsi="黑体" w:eastAsia="黑体" w:cs="宋体"/>
                <w:color w:val="000000"/>
                <w:sz w:val="18"/>
                <w:u w:val="none"/>
              </w:rPr>
              <w:t>2.8</w:t>
            </w:r>
          </w:p>
          <w:p>
            <w:pPr>
              <w:spacing w:line="320" w:lineRule="exact"/>
              <w:jc w:val="center"/>
              <w:rPr>
                <w:rStyle w:val="7"/>
                <w:rFonts w:ascii="黑体" w:hAnsi="黑体" w:eastAsia="黑体" w:cs="宋体"/>
                <w:color w:val="000000"/>
                <w:sz w:val="18"/>
                <w:u w:val="none"/>
              </w:rPr>
            </w:pPr>
            <w:r>
              <w:rPr>
                <w:rStyle w:val="7"/>
                <w:rFonts w:hint="eastAsia" w:ascii="黑体" w:hAnsi="黑体" w:eastAsia="黑体" w:cs="宋体"/>
                <w:color w:val="000000"/>
                <w:sz w:val="18"/>
                <w:u w:val="none"/>
              </w:rPr>
              <w:t>生活照料</w:t>
            </w:r>
          </w:p>
          <w:p>
            <w:pPr>
              <w:spacing w:line="320" w:lineRule="exact"/>
              <w:jc w:val="center"/>
              <w:rPr>
                <w:rStyle w:val="7"/>
                <w:rFonts w:ascii="黑体" w:hAnsi="黑体" w:eastAsia="黑体" w:cs="宋体"/>
                <w:color w:val="000000"/>
                <w:sz w:val="18"/>
                <w:u w:val="none"/>
              </w:rPr>
            </w:pPr>
            <w:r>
              <w:rPr>
                <w:rStyle w:val="7"/>
                <w:rFonts w:hint="eastAsia" w:ascii="黑体" w:hAnsi="黑体" w:eastAsia="黑体" w:cs="宋体"/>
                <w:color w:val="000000"/>
                <w:sz w:val="18"/>
                <w:u w:val="none"/>
              </w:rPr>
              <w:t>服务</w:t>
            </w:r>
          </w:p>
          <w:p>
            <w:pPr>
              <w:spacing w:line="320" w:lineRule="exact"/>
              <w:jc w:val="center"/>
              <w:rPr>
                <w:rStyle w:val="7"/>
                <w:rFonts w:ascii="黑体" w:hAnsi="黑体" w:eastAsia="黑体" w:cs="宋体"/>
                <w:color w:val="000000"/>
                <w:sz w:val="18"/>
                <w:u w:val="none"/>
              </w:rPr>
            </w:pPr>
            <w:r>
              <w:rPr>
                <w:rStyle w:val="7"/>
                <w:rFonts w:ascii="黑体" w:hAnsi="黑体" w:eastAsia="黑体" w:cs="宋体"/>
                <w:color w:val="000000"/>
                <w:sz w:val="18"/>
                <w:u w:val="none"/>
              </w:rPr>
              <w:t>81</w:t>
            </w:r>
            <w:r>
              <w:rPr>
                <w:rStyle w:val="7"/>
                <w:rFonts w:hint="eastAsia" w:ascii="黑体" w:hAnsi="黑体" w:eastAsia="黑体" w:cs="宋体"/>
                <w:color w:val="000000"/>
                <w:sz w:val="18"/>
                <w:u w:val="none"/>
              </w:rPr>
              <w:t>分</w:t>
            </w:r>
          </w:p>
          <w:p>
            <w:pPr>
              <w:spacing w:line="340" w:lineRule="exact"/>
              <w:jc w:val="center"/>
              <w:rPr>
                <w:rFonts w:ascii="宋体" w:hAnsi="宋体" w:cs="宋体"/>
                <w:color w:val="000000"/>
                <w:sz w:val="18"/>
                <w:szCs w:val="21"/>
              </w:rPr>
            </w:pPr>
          </w:p>
        </w:tc>
        <w:tc>
          <w:tcPr>
            <w:tcW w:w="10177" w:type="dxa"/>
            <w:noWrap/>
            <w:vAlign w:val="top"/>
          </w:tcPr>
          <w:p>
            <w:pPr>
              <w:spacing w:line="320" w:lineRule="exact"/>
              <w:jc w:val="left"/>
              <w:rPr>
                <w:rStyle w:val="7"/>
                <w:rFonts w:ascii="宋体" w:hAnsi="宋体" w:cs="宋体"/>
                <w:color w:val="000000"/>
                <w:sz w:val="18"/>
                <w:u w:val="none"/>
              </w:rPr>
            </w:pPr>
            <w:r>
              <w:rPr>
                <w:rStyle w:val="7"/>
                <w:rFonts w:hint="eastAsia" w:ascii="宋体" w:hAnsi="宋体" w:cs="宋体"/>
                <w:color w:val="000000"/>
                <w:sz w:val="18"/>
                <w:u w:val="none"/>
              </w:rPr>
              <w:t xml:space="preserve">清洁卫生护理类（共15项）：   </w:t>
            </w:r>
          </w:p>
          <w:p>
            <w:pPr>
              <w:spacing w:line="320" w:lineRule="exact"/>
              <w:jc w:val="left"/>
              <w:rPr>
                <w:rStyle w:val="7"/>
                <w:rFonts w:ascii="宋体" w:hAnsi="宋体" w:cs="宋体"/>
                <w:color w:val="000000"/>
                <w:sz w:val="18"/>
                <w:u w:val="none"/>
              </w:rPr>
            </w:pPr>
            <w:r>
              <w:rPr>
                <w:rStyle w:val="7"/>
                <w:rFonts w:hint="eastAsia" w:ascii="宋体" w:hAnsi="宋体" w:cs="宋体"/>
                <w:color w:val="000000"/>
                <w:sz w:val="18"/>
                <w:u w:val="none"/>
              </w:rPr>
              <w:t>□协助穿/脱衣 □洗头 □洗脸 □口腔清洁 □刷牙 □漱口 □洗手</w:t>
            </w:r>
          </w:p>
          <w:p>
            <w:pPr>
              <w:spacing w:line="320" w:lineRule="exact"/>
              <w:jc w:val="left"/>
              <w:rPr>
                <w:color w:val="000000"/>
                <w:sz w:val="18"/>
                <w:szCs w:val="21"/>
              </w:rPr>
            </w:pPr>
            <w:r>
              <w:rPr>
                <w:rStyle w:val="7"/>
                <w:rFonts w:hint="eastAsia" w:ascii="宋体" w:hAnsi="宋体" w:cs="宋体"/>
                <w:color w:val="000000"/>
                <w:sz w:val="18"/>
                <w:u w:val="none"/>
              </w:rPr>
              <w:t>□洗足 □洗澡 □床上擦浴□女性会阴清洁□修剪指（趾）甲  □压疮预防 □梳头 □剃须</w:t>
            </w:r>
          </w:p>
        </w:tc>
        <w:tc>
          <w:tcPr>
            <w:tcW w:w="738" w:type="dxa"/>
            <w:noWrap/>
            <w:vAlign w:val="center"/>
          </w:tcPr>
          <w:p>
            <w:pPr>
              <w:spacing w:line="320" w:lineRule="exact"/>
              <w:jc w:val="center"/>
              <w:rPr>
                <w:rStyle w:val="7"/>
                <w:rFonts w:ascii="宋体" w:hAnsi="宋体" w:cs="宋体"/>
                <w:color w:val="000000"/>
                <w:sz w:val="18"/>
                <w:u w:val="none"/>
              </w:rPr>
            </w:pPr>
            <w:r>
              <w:rPr>
                <w:rStyle w:val="7"/>
                <w:rFonts w:ascii="宋体" w:hAnsi="宋体" w:cs="宋体"/>
                <w:color w:val="000000"/>
                <w:sz w:val="18"/>
                <w:u w:val="none"/>
              </w:rPr>
              <w:t>45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20" w:lineRule="exact"/>
              <w:jc w:val="left"/>
              <w:rPr>
                <w:color w:val="000000"/>
                <w:sz w:val="18"/>
                <w:szCs w:val="21"/>
              </w:rPr>
            </w:pPr>
            <w:r>
              <w:rPr>
                <w:rStyle w:val="7"/>
                <w:rFonts w:hint="eastAsia" w:ascii="宋体" w:hAnsi="宋体" w:cs="宋体"/>
                <w:color w:val="000000"/>
                <w:sz w:val="18"/>
                <w:u w:val="none"/>
              </w:rPr>
              <w:t xml:space="preserve">饮食护理类（共3项）：□喂水         □喂饭         □鼻饲  </w:t>
            </w:r>
          </w:p>
        </w:tc>
        <w:tc>
          <w:tcPr>
            <w:tcW w:w="738" w:type="dxa"/>
            <w:noWrap/>
            <w:vAlign w:val="center"/>
          </w:tcPr>
          <w:p>
            <w:pPr>
              <w:spacing w:line="320" w:lineRule="exact"/>
              <w:jc w:val="center"/>
              <w:rPr>
                <w:rStyle w:val="7"/>
                <w:rFonts w:ascii="宋体" w:hAnsi="宋体" w:cs="宋体"/>
                <w:color w:val="000000"/>
                <w:sz w:val="18"/>
                <w:u w:val="none"/>
              </w:rPr>
            </w:pPr>
            <w:r>
              <w:rPr>
                <w:rStyle w:val="7"/>
                <w:rFonts w:ascii="宋体" w:hAnsi="宋体" w:cs="宋体"/>
                <w:color w:val="000000"/>
                <w:sz w:val="18"/>
                <w:u w:val="none"/>
              </w:rPr>
              <w:t>9</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20" w:lineRule="exact"/>
              <w:jc w:val="left"/>
              <w:rPr>
                <w:color w:val="000000"/>
                <w:sz w:val="18"/>
                <w:szCs w:val="21"/>
              </w:rPr>
            </w:pPr>
            <w:r>
              <w:rPr>
                <w:rStyle w:val="7"/>
                <w:rFonts w:hint="eastAsia" w:ascii="宋体" w:hAnsi="宋体" w:cs="宋体"/>
                <w:color w:val="000000"/>
                <w:sz w:val="18"/>
                <w:u w:val="none"/>
              </w:rPr>
              <w:t>排泄护理类（共3项）：□协助排便    □人工取便   □更换尿不湿</w:t>
            </w:r>
          </w:p>
        </w:tc>
        <w:tc>
          <w:tcPr>
            <w:tcW w:w="738" w:type="dxa"/>
            <w:noWrap/>
            <w:vAlign w:val="center"/>
          </w:tcPr>
          <w:p>
            <w:pPr>
              <w:spacing w:line="320" w:lineRule="exact"/>
              <w:jc w:val="center"/>
              <w:rPr>
                <w:rStyle w:val="7"/>
                <w:rFonts w:ascii="宋体" w:hAnsi="宋体" w:cs="宋体"/>
                <w:color w:val="000000"/>
                <w:sz w:val="18"/>
                <w:u w:val="none"/>
              </w:rPr>
            </w:pPr>
            <w:r>
              <w:rPr>
                <w:rStyle w:val="7"/>
                <w:rFonts w:ascii="宋体" w:hAnsi="宋体" w:cs="宋体"/>
                <w:color w:val="000000"/>
                <w:sz w:val="18"/>
                <w:u w:val="none"/>
              </w:rPr>
              <w:t>9</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20" w:lineRule="exact"/>
              <w:jc w:val="left"/>
              <w:rPr>
                <w:color w:val="000000"/>
                <w:sz w:val="18"/>
                <w:szCs w:val="21"/>
              </w:rPr>
            </w:pPr>
            <w:r>
              <w:rPr>
                <w:rStyle w:val="7"/>
                <w:rFonts w:hint="eastAsia" w:ascii="宋体" w:hAnsi="宋体" w:cs="宋体"/>
                <w:color w:val="000000"/>
                <w:sz w:val="18"/>
                <w:u w:val="none"/>
              </w:rPr>
              <w:t>转移护理类（共3项）：□床上体位转换 □轮椅转移  □移动辅助器应用指导</w:t>
            </w:r>
          </w:p>
        </w:tc>
        <w:tc>
          <w:tcPr>
            <w:tcW w:w="738" w:type="dxa"/>
            <w:noWrap/>
            <w:vAlign w:val="center"/>
          </w:tcPr>
          <w:p>
            <w:pPr>
              <w:spacing w:line="320" w:lineRule="exact"/>
              <w:jc w:val="center"/>
              <w:rPr>
                <w:rStyle w:val="7"/>
                <w:rFonts w:ascii="宋体" w:hAnsi="宋体" w:cs="宋体"/>
                <w:color w:val="000000"/>
                <w:sz w:val="18"/>
                <w:u w:val="none"/>
              </w:rPr>
            </w:pPr>
            <w:r>
              <w:rPr>
                <w:rStyle w:val="7"/>
                <w:rFonts w:ascii="宋体" w:hAnsi="宋体" w:cs="宋体"/>
                <w:color w:val="000000"/>
                <w:sz w:val="18"/>
                <w:u w:val="none"/>
              </w:rPr>
              <w:t>9</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20" w:lineRule="exact"/>
              <w:jc w:val="left"/>
              <w:rPr>
                <w:color w:val="000000"/>
                <w:sz w:val="18"/>
                <w:szCs w:val="21"/>
              </w:rPr>
            </w:pPr>
            <w:r>
              <w:rPr>
                <w:rStyle w:val="7"/>
                <w:rFonts w:hint="eastAsia" w:ascii="宋体" w:hAnsi="宋体" w:cs="宋体"/>
                <w:color w:val="000000"/>
                <w:sz w:val="18"/>
                <w:u w:val="none"/>
              </w:rPr>
              <w:t>其他护理类（共3项）：□睡眠照顾   □更换床上用品 □使用热水袋</w:t>
            </w:r>
          </w:p>
        </w:tc>
        <w:tc>
          <w:tcPr>
            <w:tcW w:w="738" w:type="dxa"/>
            <w:noWrap/>
            <w:vAlign w:val="center"/>
          </w:tcPr>
          <w:p>
            <w:pPr>
              <w:spacing w:line="320" w:lineRule="exact"/>
              <w:jc w:val="center"/>
              <w:rPr>
                <w:rStyle w:val="7"/>
                <w:rFonts w:ascii="宋体" w:hAnsi="宋体" w:cs="宋体"/>
                <w:color w:val="000000"/>
                <w:sz w:val="18"/>
                <w:u w:val="none"/>
              </w:rPr>
            </w:pPr>
            <w:r>
              <w:rPr>
                <w:rStyle w:val="7"/>
                <w:rFonts w:hint="eastAsia" w:ascii="宋体" w:hAnsi="宋体" w:cs="宋体"/>
                <w:color w:val="000000"/>
                <w:sz w:val="18"/>
                <w:u w:val="none"/>
              </w:rPr>
              <w:t>9</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20" w:lineRule="exact"/>
              <w:jc w:val="center"/>
              <w:rPr>
                <w:rStyle w:val="7"/>
                <w:rFonts w:ascii="黑体" w:hAnsi="黑体" w:eastAsia="黑体" w:cs="宋体"/>
                <w:color w:val="000000"/>
                <w:sz w:val="18"/>
                <w:u w:val="none"/>
              </w:rPr>
            </w:pPr>
            <w:r>
              <w:rPr>
                <w:rStyle w:val="7"/>
                <w:rFonts w:ascii="黑体" w:hAnsi="黑体" w:eastAsia="黑体" w:cs="宋体"/>
                <w:color w:val="000000"/>
                <w:sz w:val="18"/>
                <w:u w:val="none"/>
              </w:rPr>
              <w:t>2.9</w:t>
            </w:r>
          </w:p>
          <w:p>
            <w:pPr>
              <w:spacing w:line="320" w:lineRule="exact"/>
              <w:jc w:val="center"/>
              <w:rPr>
                <w:rStyle w:val="7"/>
                <w:rFonts w:ascii="黑体" w:hAnsi="黑体" w:eastAsia="黑体" w:cs="宋体"/>
                <w:color w:val="000000"/>
                <w:sz w:val="18"/>
                <w:u w:val="none"/>
              </w:rPr>
            </w:pPr>
            <w:r>
              <w:rPr>
                <w:rStyle w:val="7"/>
                <w:rFonts w:hint="eastAsia" w:ascii="黑体" w:hAnsi="黑体" w:eastAsia="黑体" w:cs="宋体"/>
                <w:color w:val="000000"/>
                <w:sz w:val="18"/>
                <w:u w:val="none"/>
              </w:rPr>
              <w:t>医疗护理</w:t>
            </w:r>
            <w:r>
              <w:rPr>
                <w:rStyle w:val="7"/>
                <w:rFonts w:ascii="黑体" w:hAnsi="黑体" w:eastAsia="黑体" w:cs="宋体"/>
                <w:color w:val="000000"/>
                <w:sz w:val="18"/>
                <w:u w:val="none"/>
              </w:rPr>
              <w:t>服务</w:t>
            </w:r>
          </w:p>
          <w:p>
            <w:pPr>
              <w:spacing w:line="320" w:lineRule="exact"/>
              <w:jc w:val="center"/>
              <w:rPr>
                <w:rStyle w:val="7"/>
                <w:rFonts w:ascii="黑体" w:hAnsi="黑体" w:eastAsia="黑体" w:cs="宋体"/>
                <w:color w:val="000000"/>
                <w:sz w:val="18"/>
                <w:u w:val="none"/>
              </w:rPr>
            </w:pPr>
            <w:r>
              <w:rPr>
                <w:rStyle w:val="7"/>
                <w:rFonts w:ascii="黑体" w:hAnsi="黑体" w:eastAsia="黑体" w:cs="宋体"/>
                <w:color w:val="000000"/>
                <w:sz w:val="18"/>
                <w:u w:val="none"/>
              </w:rPr>
              <w:t>69分</w:t>
            </w:r>
          </w:p>
          <w:p>
            <w:pPr>
              <w:spacing w:line="340" w:lineRule="exact"/>
              <w:jc w:val="center"/>
              <w:rPr>
                <w:rFonts w:ascii="宋体" w:hAnsi="宋体" w:cs="宋体"/>
                <w:color w:val="000000"/>
                <w:sz w:val="18"/>
                <w:szCs w:val="21"/>
              </w:rPr>
            </w:pPr>
            <w:r>
              <w:rPr>
                <w:rStyle w:val="7"/>
                <w:rFonts w:hint="eastAsia" w:ascii="宋体" w:hAnsi="宋体" w:cs="宋体"/>
                <w:color w:val="000000"/>
                <w:sz w:val="18"/>
                <w:u w:val="none"/>
              </w:rPr>
              <w:t>（</w:t>
            </w:r>
            <w:r>
              <w:rPr>
                <w:rStyle w:val="7"/>
                <w:rFonts w:ascii="宋体" w:hAnsi="宋体" w:cs="宋体"/>
                <w:color w:val="000000"/>
                <w:sz w:val="18"/>
                <w:u w:val="none"/>
              </w:rPr>
              <w:t>需</w:t>
            </w:r>
            <w:r>
              <w:rPr>
                <w:rStyle w:val="7"/>
                <w:rFonts w:hint="eastAsia" w:ascii="宋体" w:hAnsi="宋体" w:cs="宋体"/>
                <w:color w:val="000000"/>
                <w:sz w:val="18"/>
                <w:u w:val="none"/>
              </w:rPr>
              <w:t>具备资格的医护人员完成）</w:t>
            </w:r>
          </w:p>
        </w:tc>
        <w:tc>
          <w:tcPr>
            <w:tcW w:w="10177" w:type="dxa"/>
            <w:noWrap/>
            <w:vAlign w:val="top"/>
          </w:tcPr>
          <w:p>
            <w:pPr>
              <w:spacing w:line="320" w:lineRule="exact"/>
              <w:jc w:val="left"/>
              <w:rPr>
                <w:rStyle w:val="7"/>
                <w:rFonts w:ascii="宋体" w:hAnsi="宋体" w:cs="宋体"/>
                <w:color w:val="000000"/>
                <w:sz w:val="18"/>
                <w:u w:val="none"/>
              </w:rPr>
            </w:pPr>
            <w:r>
              <w:rPr>
                <w:rStyle w:val="7"/>
                <w:rFonts w:ascii="宋体" w:hAnsi="宋体" w:cs="宋体"/>
                <w:color w:val="000000"/>
                <w:sz w:val="18"/>
                <w:u w:val="none"/>
              </w:rPr>
              <w:t>非侵入性医疗护理服务</w:t>
            </w:r>
            <w:r>
              <w:rPr>
                <w:rStyle w:val="7"/>
                <w:rFonts w:hint="eastAsia" w:ascii="宋体" w:hAnsi="宋体" w:cs="宋体"/>
                <w:color w:val="000000"/>
                <w:sz w:val="18"/>
                <w:u w:val="none"/>
              </w:rPr>
              <w:t>类（共</w:t>
            </w:r>
            <w:r>
              <w:rPr>
                <w:rStyle w:val="7"/>
                <w:rFonts w:ascii="宋体" w:hAnsi="宋体" w:cs="宋体"/>
                <w:color w:val="000000"/>
                <w:sz w:val="18"/>
                <w:u w:val="none"/>
              </w:rPr>
              <w:t>8项）：</w:t>
            </w:r>
          </w:p>
          <w:p>
            <w:pPr>
              <w:spacing w:line="320" w:lineRule="exact"/>
              <w:jc w:val="left"/>
              <w:rPr>
                <w:rStyle w:val="7"/>
                <w:rFonts w:cs="宋体"/>
                <w:color w:val="000000"/>
                <w:sz w:val="18"/>
                <w:u w:val="none"/>
              </w:rPr>
            </w:pPr>
            <w:r>
              <w:rPr>
                <w:rStyle w:val="7"/>
                <w:rFonts w:hint="eastAsia" w:ascii="宋体" w:hAnsi="宋体" w:cs="宋体"/>
                <w:color w:val="000000"/>
                <w:sz w:val="18"/>
                <w:u w:val="none"/>
              </w:rPr>
              <w:t>□</w:t>
            </w:r>
            <w:r>
              <w:rPr>
                <w:rFonts w:hint="eastAsia" w:ascii="宋体" w:hAnsi="宋体"/>
                <w:color w:val="000000"/>
                <w:sz w:val="18"/>
                <w:szCs w:val="21"/>
              </w:rPr>
              <w:t>生命体征监测</w:t>
            </w:r>
            <w:r>
              <w:rPr>
                <w:rStyle w:val="7"/>
                <w:rFonts w:hint="eastAsia" w:ascii="宋体" w:hAnsi="宋体" w:cs="宋体"/>
                <w:color w:val="000000"/>
                <w:sz w:val="18"/>
                <w:u w:val="none"/>
              </w:rPr>
              <w:t>□口腔</w:t>
            </w:r>
            <w:r>
              <w:rPr>
                <w:rStyle w:val="7"/>
                <w:rFonts w:ascii="宋体" w:hAnsi="宋体" w:cs="宋体"/>
                <w:color w:val="000000"/>
                <w:sz w:val="18"/>
                <w:u w:val="none"/>
              </w:rPr>
              <w:t>护理</w:t>
            </w:r>
            <w:r>
              <w:rPr>
                <w:rStyle w:val="7"/>
                <w:rFonts w:hint="eastAsia" w:ascii="宋体" w:hAnsi="宋体" w:cs="宋体"/>
                <w:color w:val="000000"/>
                <w:sz w:val="18"/>
                <w:u w:val="none"/>
              </w:rPr>
              <w:t>□</w:t>
            </w:r>
            <w:r>
              <w:rPr>
                <w:rFonts w:hint="eastAsia"/>
                <w:color w:val="000000"/>
                <w:sz w:val="18"/>
                <w:szCs w:val="21"/>
              </w:rPr>
              <w:t>氧气</w:t>
            </w:r>
            <w:r>
              <w:rPr>
                <w:rFonts w:ascii="宋体" w:hAnsi="宋体"/>
                <w:color w:val="000000"/>
                <w:sz w:val="18"/>
                <w:szCs w:val="21"/>
              </w:rPr>
              <w:t>吸入</w:t>
            </w:r>
            <w:r>
              <w:rPr>
                <w:rStyle w:val="7"/>
                <w:rFonts w:hint="eastAsia" w:ascii="宋体" w:hAnsi="宋体" w:cs="宋体"/>
                <w:color w:val="000000"/>
                <w:sz w:val="18"/>
                <w:u w:val="none"/>
              </w:rPr>
              <w:t>□雾化</w:t>
            </w:r>
            <w:r>
              <w:rPr>
                <w:rStyle w:val="7"/>
                <w:rFonts w:ascii="宋体" w:hAnsi="宋体" w:cs="宋体"/>
                <w:color w:val="000000"/>
                <w:sz w:val="18"/>
                <w:u w:val="none"/>
              </w:rPr>
              <w:t>吸入</w:t>
            </w:r>
            <w:r>
              <w:rPr>
                <w:rStyle w:val="7"/>
                <w:rFonts w:hint="eastAsia" w:ascii="宋体" w:hAnsi="宋体" w:cs="宋体"/>
                <w:color w:val="000000"/>
                <w:sz w:val="18"/>
                <w:u w:val="none"/>
              </w:rPr>
              <w:t>□</w:t>
            </w:r>
            <w:r>
              <w:rPr>
                <w:rFonts w:hint="eastAsia" w:ascii="宋体" w:hAnsi="宋体"/>
                <w:color w:val="000000"/>
                <w:sz w:val="18"/>
                <w:szCs w:val="21"/>
              </w:rPr>
              <w:t>口服给药</w:t>
            </w:r>
          </w:p>
          <w:p>
            <w:pPr>
              <w:spacing w:line="320" w:lineRule="exact"/>
              <w:jc w:val="left"/>
              <w:rPr>
                <w:rStyle w:val="7"/>
                <w:rFonts w:ascii="宋体" w:hAnsi="宋体" w:cs="宋体"/>
                <w:color w:val="000000"/>
                <w:sz w:val="18"/>
                <w:u w:val="none"/>
              </w:rPr>
            </w:pPr>
            <w:r>
              <w:rPr>
                <w:rStyle w:val="7"/>
                <w:rFonts w:hint="eastAsia" w:ascii="宋体" w:hAnsi="宋体" w:cs="宋体"/>
                <w:color w:val="000000"/>
                <w:sz w:val="18"/>
                <w:u w:val="none"/>
              </w:rPr>
              <w:t>□压疮</w:t>
            </w:r>
            <w:r>
              <w:rPr>
                <w:rStyle w:val="7"/>
                <w:rFonts w:ascii="宋体" w:hAnsi="宋体" w:cs="宋体"/>
                <w:color w:val="000000"/>
                <w:sz w:val="18"/>
                <w:u w:val="none"/>
              </w:rPr>
              <w:t xml:space="preserve">护理       </w:t>
            </w:r>
            <w:r>
              <w:rPr>
                <w:rStyle w:val="7"/>
                <w:rFonts w:hint="eastAsia" w:ascii="宋体" w:hAnsi="宋体" w:cs="宋体"/>
                <w:color w:val="000000"/>
                <w:sz w:val="18"/>
                <w:u w:val="none"/>
              </w:rPr>
              <w:t>□气管</w:t>
            </w:r>
            <w:r>
              <w:rPr>
                <w:rStyle w:val="7"/>
                <w:rFonts w:ascii="宋体" w:hAnsi="宋体" w:cs="宋体"/>
                <w:color w:val="000000"/>
                <w:sz w:val="18"/>
                <w:u w:val="none"/>
              </w:rPr>
              <w:t>切开护理</w:t>
            </w:r>
            <w:r>
              <w:rPr>
                <w:rStyle w:val="7"/>
                <w:rFonts w:hint="eastAsia" w:ascii="宋体" w:hAnsi="宋体" w:cs="宋体"/>
                <w:color w:val="000000"/>
                <w:sz w:val="18"/>
                <w:u w:val="none"/>
              </w:rPr>
              <w:t xml:space="preserve"> □</w:t>
            </w:r>
            <w:r>
              <w:rPr>
                <w:rStyle w:val="7"/>
                <w:rFonts w:hint="eastAsia" w:cs="宋体"/>
                <w:color w:val="000000"/>
                <w:sz w:val="18"/>
                <w:u w:val="none"/>
              </w:rPr>
              <w:t>伤口换药</w:t>
            </w:r>
            <w:r>
              <w:rPr>
                <w:rStyle w:val="7"/>
                <w:rFonts w:hint="eastAsia" w:ascii="宋体" w:hAnsi="宋体" w:cs="宋体"/>
                <w:color w:val="000000"/>
                <w:sz w:val="18"/>
                <w:u w:val="none"/>
              </w:rPr>
              <w:t>(含造瘘口护理等)</w:t>
            </w:r>
          </w:p>
        </w:tc>
        <w:tc>
          <w:tcPr>
            <w:tcW w:w="738" w:type="dxa"/>
            <w:noWrap/>
            <w:vAlign w:val="center"/>
          </w:tcPr>
          <w:p>
            <w:pPr>
              <w:spacing w:line="320" w:lineRule="exact"/>
              <w:jc w:val="center"/>
              <w:rPr>
                <w:rStyle w:val="7"/>
                <w:rFonts w:ascii="宋体" w:hAnsi="宋体" w:cs="宋体"/>
                <w:color w:val="000000"/>
                <w:sz w:val="18"/>
                <w:u w:val="none"/>
              </w:rPr>
            </w:pPr>
            <w:r>
              <w:rPr>
                <w:rStyle w:val="7"/>
                <w:rFonts w:ascii="宋体" w:hAnsi="宋体" w:cs="宋体"/>
                <w:color w:val="000000"/>
                <w:sz w:val="18"/>
                <w:u w:val="none"/>
              </w:rPr>
              <w:t>24</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20" w:lineRule="exact"/>
              <w:jc w:val="left"/>
              <w:rPr>
                <w:rStyle w:val="7"/>
                <w:rFonts w:ascii="宋体" w:hAnsi="宋体" w:cs="宋体"/>
                <w:color w:val="000000"/>
                <w:sz w:val="18"/>
                <w:u w:val="none"/>
              </w:rPr>
            </w:pPr>
            <w:r>
              <w:rPr>
                <w:rStyle w:val="7"/>
                <w:rFonts w:ascii="宋体" w:hAnsi="宋体" w:cs="宋体"/>
                <w:color w:val="000000"/>
                <w:sz w:val="18"/>
                <w:u w:val="none"/>
              </w:rPr>
              <w:t>侵入性医疗护理服务</w:t>
            </w:r>
            <w:r>
              <w:rPr>
                <w:rStyle w:val="7"/>
                <w:rFonts w:hint="eastAsia" w:ascii="宋体" w:hAnsi="宋体" w:cs="宋体"/>
                <w:color w:val="000000"/>
                <w:sz w:val="18"/>
                <w:u w:val="none"/>
              </w:rPr>
              <w:t>类（共</w:t>
            </w:r>
            <w:r>
              <w:rPr>
                <w:rStyle w:val="7"/>
                <w:rFonts w:ascii="宋体" w:hAnsi="宋体" w:cs="宋体"/>
                <w:color w:val="000000"/>
                <w:sz w:val="18"/>
                <w:u w:val="none"/>
              </w:rPr>
              <w:t>14项）：</w:t>
            </w:r>
          </w:p>
          <w:p>
            <w:pPr>
              <w:spacing w:line="320" w:lineRule="exact"/>
              <w:jc w:val="left"/>
              <w:rPr>
                <w:rStyle w:val="7"/>
                <w:rFonts w:ascii="宋体" w:hAnsi="宋体" w:cs="宋体"/>
                <w:color w:val="000000"/>
                <w:sz w:val="18"/>
                <w:u w:val="none"/>
              </w:rPr>
            </w:pPr>
            <w:r>
              <w:rPr>
                <w:rStyle w:val="7"/>
                <w:rFonts w:hint="eastAsia" w:ascii="宋体" w:hAnsi="宋体" w:cs="宋体"/>
                <w:color w:val="000000"/>
                <w:sz w:val="18"/>
                <w:u w:val="none"/>
              </w:rPr>
              <w:t>□测</w:t>
            </w:r>
            <w:r>
              <w:rPr>
                <w:rStyle w:val="7"/>
                <w:rFonts w:ascii="宋体" w:hAnsi="宋体" w:cs="宋体"/>
                <w:color w:val="000000"/>
                <w:sz w:val="18"/>
                <w:u w:val="none"/>
              </w:rPr>
              <w:t>血糖</w:t>
            </w:r>
            <w:r>
              <w:rPr>
                <w:rStyle w:val="7"/>
                <w:rFonts w:hint="eastAsia" w:ascii="宋体" w:hAnsi="宋体" w:cs="宋体"/>
                <w:color w:val="000000"/>
                <w:sz w:val="18"/>
                <w:u w:val="none"/>
              </w:rPr>
              <w:t>□皮下</w:t>
            </w:r>
            <w:r>
              <w:rPr>
                <w:rStyle w:val="7"/>
                <w:rFonts w:ascii="宋体" w:hAnsi="宋体" w:cs="宋体"/>
                <w:color w:val="000000"/>
                <w:sz w:val="18"/>
                <w:u w:val="none"/>
              </w:rPr>
              <w:t>注射</w:t>
            </w:r>
            <w:r>
              <w:rPr>
                <w:rStyle w:val="7"/>
                <w:rFonts w:hint="eastAsia" w:ascii="宋体" w:hAnsi="宋体" w:cs="宋体"/>
                <w:color w:val="000000"/>
                <w:sz w:val="18"/>
                <w:u w:val="none"/>
              </w:rPr>
              <w:t>（胰岛素</w:t>
            </w:r>
            <w:r>
              <w:rPr>
                <w:rStyle w:val="7"/>
                <w:rFonts w:ascii="宋体" w:hAnsi="宋体" w:cs="宋体"/>
                <w:color w:val="000000"/>
                <w:sz w:val="18"/>
                <w:u w:val="none"/>
              </w:rPr>
              <w:t>注射等</w:t>
            </w:r>
            <w:r>
              <w:rPr>
                <w:rStyle w:val="7"/>
                <w:rFonts w:hint="eastAsia" w:ascii="宋体" w:hAnsi="宋体" w:cs="宋体"/>
                <w:color w:val="000000"/>
                <w:sz w:val="18"/>
                <w:u w:val="none"/>
              </w:rPr>
              <w:t>）□更换</w:t>
            </w:r>
            <w:r>
              <w:rPr>
                <w:rStyle w:val="7"/>
                <w:rFonts w:ascii="宋体" w:hAnsi="宋体" w:cs="宋体"/>
                <w:color w:val="000000"/>
                <w:sz w:val="18"/>
                <w:u w:val="none"/>
              </w:rPr>
              <w:t>引流袋</w:t>
            </w:r>
            <w:r>
              <w:rPr>
                <w:rStyle w:val="7"/>
                <w:rFonts w:hint="eastAsia" w:ascii="宋体" w:hAnsi="宋体" w:cs="宋体"/>
                <w:color w:val="000000"/>
                <w:sz w:val="18"/>
                <w:u w:val="none"/>
              </w:rPr>
              <w:t>（尿袋</w:t>
            </w:r>
            <w:r>
              <w:rPr>
                <w:rStyle w:val="7"/>
                <w:rFonts w:ascii="宋体" w:hAnsi="宋体" w:cs="宋体"/>
                <w:color w:val="000000"/>
                <w:sz w:val="18"/>
                <w:u w:val="none"/>
              </w:rPr>
              <w:t>、粪</w:t>
            </w:r>
            <w:r>
              <w:rPr>
                <w:rStyle w:val="7"/>
                <w:rFonts w:hint="eastAsia" w:ascii="宋体" w:hAnsi="宋体" w:cs="宋体"/>
                <w:color w:val="000000"/>
                <w:sz w:val="18"/>
                <w:u w:val="none"/>
              </w:rPr>
              <w:t>袋</w:t>
            </w:r>
            <w:r>
              <w:rPr>
                <w:rStyle w:val="7"/>
                <w:rFonts w:ascii="宋体" w:hAnsi="宋体" w:cs="宋体"/>
                <w:color w:val="000000"/>
                <w:sz w:val="18"/>
                <w:u w:val="none"/>
              </w:rPr>
              <w:t>、造口袋等</w:t>
            </w:r>
            <w:r>
              <w:rPr>
                <w:rStyle w:val="7"/>
                <w:rFonts w:hint="eastAsia" w:ascii="宋体" w:hAnsi="宋体" w:cs="宋体"/>
                <w:color w:val="000000"/>
                <w:sz w:val="18"/>
                <w:u w:val="none"/>
              </w:rPr>
              <w:t>）□吸痰</w:t>
            </w:r>
            <w:r>
              <w:rPr>
                <w:rStyle w:val="7"/>
                <w:rFonts w:ascii="宋体" w:hAnsi="宋体" w:cs="宋体"/>
                <w:color w:val="000000"/>
                <w:sz w:val="18"/>
                <w:u w:val="none"/>
              </w:rPr>
              <w:t>护理   □膀胱冲洗   □鼻饲管置管  □</w:t>
            </w:r>
            <w:r>
              <w:rPr>
                <w:rFonts w:hint="eastAsia"/>
                <w:color w:val="000000"/>
                <w:sz w:val="18"/>
                <w:szCs w:val="21"/>
              </w:rPr>
              <w:t>密闭式输液</w:t>
            </w:r>
            <w:r>
              <w:rPr>
                <w:rStyle w:val="7"/>
                <w:rFonts w:hint="eastAsia" w:ascii="宋体" w:hAnsi="宋体" w:cs="宋体"/>
                <w:color w:val="000000"/>
                <w:sz w:val="18"/>
                <w:u w:val="none"/>
              </w:rPr>
              <w:t>□静脉</w:t>
            </w:r>
            <w:r>
              <w:rPr>
                <w:rStyle w:val="7"/>
                <w:rFonts w:ascii="宋体" w:hAnsi="宋体" w:cs="宋体"/>
                <w:color w:val="000000"/>
                <w:sz w:val="18"/>
                <w:u w:val="none"/>
              </w:rPr>
              <w:t xml:space="preserve">采血  □静脉注射 </w:t>
            </w:r>
          </w:p>
          <w:p>
            <w:pPr>
              <w:spacing w:line="320" w:lineRule="exact"/>
              <w:jc w:val="left"/>
              <w:rPr>
                <w:rStyle w:val="7"/>
                <w:rFonts w:ascii="宋体" w:hAnsi="宋体" w:cs="宋体"/>
                <w:color w:val="000000"/>
                <w:sz w:val="18"/>
                <w:u w:val="none"/>
              </w:rPr>
            </w:pPr>
            <w:r>
              <w:rPr>
                <w:rStyle w:val="7"/>
                <w:rFonts w:hint="eastAsia" w:ascii="宋体" w:hAnsi="宋体" w:cs="宋体"/>
                <w:color w:val="000000"/>
                <w:sz w:val="18"/>
                <w:u w:val="none"/>
              </w:rPr>
              <w:t>□肌肉</w:t>
            </w:r>
            <w:r>
              <w:rPr>
                <w:rStyle w:val="7"/>
                <w:rFonts w:ascii="宋体" w:hAnsi="宋体" w:cs="宋体"/>
                <w:color w:val="000000"/>
                <w:sz w:val="18"/>
                <w:u w:val="none"/>
              </w:rPr>
              <w:t>注射   □皮内注射（</w:t>
            </w:r>
            <w:r>
              <w:rPr>
                <w:rStyle w:val="7"/>
                <w:rFonts w:hint="eastAsia" w:ascii="宋体" w:hAnsi="宋体" w:cs="宋体"/>
                <w:color w:val="000000"/>
                <w:sz w:val="18"/>
                <w:u w:val="none"/>
              </w:rPr>
              <w:t>皮试</w:t>
            </w:r>
            <w:r>
              <w:rPr>
                <w:rStyle w:val="7"/>
                <w:rFonts w:ascii="宋体" w:hAnsi="宋体" w:cs="宋体"/>
                <w:color w:val="000000"/>
                <w:sz w:val="18"/>
                <w:u w:val="none"/>
              </w:rPr>
              <w:t>等）      □</w:t>
            </w:r>
            <w:r>
              <w:rPr>
                <w:rStyle w:val="7"/>
                <w:rFonts w:hint="eastAsia" w:ascii="宋体" w:hAnsi="宋体" w:cs="宋体"/>
                <w:color w:val="000000"/>
                <w:sz w:val="18"/>
                <w:u w:val="none"/>
              </w:rPr>
              <w:t>导尿□灌肠□肛管</w:t>
            </w:r>
            <w:r>
              <w:rPr>
                <w:rStyle w:val="7"/>
                <w:rFonts w:ascii="宋体" w:hAnsi="宋体" w:cs="宋体"/>
                <w:color w:val="000000"/>
                <w:sz w:val="18"/>
                <w:u w:val="none"/>
              </w:rPr>
              <w:t>排气</w:t>
            </w:r>
          </w:p>
        </w:tc>
        <w:tc>
          <w:tcPr>
            <w:tcW w:w="738" w:type="dxa"/>
            <w:noWrap/>
            <w:vAlign w:val="center"/>
          </w:tcPr>
          <w:p>
            <w:pPr>
              <w:spacing w:line="320" w:lineRule="exact"/>
              <w:jc w:val="center"/>
              <w:rPr>
                <w:rStyle w:val="7"/>
                <w:rFonts w:ascii="宋体" w:hAnsi="宋体" w:cs="宋体"/>
                <w:color w:val="000000"/>
                <w:sz w:val="18"/>
                <w:u w:val="none"/>
              </w:rPr>
            </w:pPr>
            <w:r>
              <w:rPr>
                <w:rStyle w:val="7"/>
                <w:rFonts w:ascii="宋体" w:hAnsi="宋体" w:cs="宋体"/>
                <w:color w:val="000000"/>
                <w:sz w:val="18"/>
                <w:u w:val="none"/>
              </w:rPr>
              <w:t>42</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20" w:lineRule="exact"/>
              <w:jc w:val="left"/>
              <w:rPr>
                <w:rStyle w:val="7"/>
                <w:rFonts w:ascii="宋体" w:hAnsi="宋体" w:cs="宋体"/>
                <w:color w:val="000000"/>
                <w:sz w:val="18"/>
                <w:u w:val="none"/>
              </w:rPr>
            </w:pPr>
            <w:r>
              <w:rPr>
                <w:rStyle w:val="7"/>
                <w:rFonts w:ascii="宋体" w:hAnsi="宋体" w:cs="宋体"/>
                <w:color w:val="000000"/>
                <w:sz w:val="18"/>
                <w:u w:val="none"/>
              </w:rPr>
              <w:t>康复护理类（共1项）：□</w:t>
            </w:r>
            <w:r>
              <w:rPr>
                <w:rFonts w:hint="eastAsia"/>
                <w:color w:val="000000"/>
                <w:sz w:val="18"/>
                <w:szCs w:val="21"/>
              </w:rPr>
              <w:t>关节松动训练（</w:t>
            </w:r>
            <w:r>
              <w:rPr>
                <w:color w:val="000000"/>
                <w:sz w:val="18"/>
                <w:szCs w:val="21"/>
              </w:rPr>
              <w:t>需</w:t>
            </w:r>
            <w:r>
              <w:rPr>
                <w:rFonts w:hint="eastAsia"/>
                <w:color w:val="000000"/>
                <w:sz w:val="18"/>
                <w:szCs w:val="21"/>
              </w:rPr>
              <w:t>康复技师完成）</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3</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17" w:lineRule="auto"/>
              <w:jc w:val="center"/>
              <w:rPr>
                <w:rStyle w:val="7"/>
                <w:rFonts w:ascii="黑体" w:hAnsi="黑体" w:eastAsia="黑体"/>
                <w:color w:val="000000"/>
                <w:sz w:val="18"/>
                <w:u w:val="none"/>
              </w:rPr>
            </w:pPr>
            <w:r>
              <w:rPr>
                <w:rStyle w:val="7"/>
                <w:rFonts w:ascii="黑体" w:hAnsi="黑体" w:eastAsia="黑体"/>
                <w:color w:val="000000"/>
                <w:sz w:val="18"/>
                <w:u w:val="none"/>
              </w:rPr>
              <w:t>2.10</w:t>
            </w:r>
          </w:p>
          <w:p>
            <w:pPr>
              <w:spacing w:line="340" w:lineRule="exact"/>
              <w:jc w:val="center"/>
              <w:rPr>
                <w:rFonts w:ascii="宋体" w:hAnsi="宋体" w:cs="宋体"/>
                <w:color w:val="000000"/>
                <w:sz w:val="18"/>
                <w:szCs w:val="21"/>
              </w:rPr>
            </w:pPr>
            <w:r>
              <w:rPr>
                <w:rStyle w:val="7"/>
                <w:rFonts w:hint="eastAsia" w:ascii="黑体" w:hAnsi="黑体" w:eastAsia="黑体"/>
                <w:color w:val="000000"/>
                <w:sz w:val="18"/>
                <w:u w:val="none"/>
              </w:rPr>
              <w:t>出入院服务30</w:t>
            </w:r>
            <w:r>
              <w:rPr>
                <w:rStyle w:val="7"/>
                <w:rFonts w:ascii="黑体" w:hAnsi="黑体" w:eastAsia="黑体"/>
                <w:color w:val="000000"/>
                <w:sz w:val="18"/>
                <w:u w:val="none"/>
              </w:rPr>
              <w:t>分</w:t>
            </w:r>
          </w:p>
        </w:tc>
        <w:tc>
          <w:tcPr>
            <w:tcW w:w="10177" w:type="dxa"/>
            <w:noWrap/>
            <w:vAlign w:val="top"/>
          </w:tcPr>
          <w:p>
            <w:pPr>
              <w:spacing w:line="317" w:lineRule="auto"/>
              <w:rPr>
                <w:rStyle w:val="7"/>
                <w:rFonts w:ascii="宋体" w:hAnsi="宋体" w:cs="宋体"/>
                <w:color w:val="000000"/>
                <w:sz w:val="18"/>
                <w:u w:val="none"/>
              </w:rPr>
            </w:pPr>
            <w:r>
              <w:rPr>
                <w:rStyle w:val="7"/>
                <w:rFonts w:hint="eastAsia" w:ascii="宋体" w:hAnsi="宋体"/>
                <w:color w:val="000000"/>
                <w:sz w:val="18"/>
                <w:u w:val="none"/>
              </w:rPr>
              <w:t>入住老年人服务合同签订率达到</w:t>
            </w:r>
            <w:r>
              <w:rPr>
                <w:rStyle w:val="7"/>
                <w:rFonts w:ascii="宋体" w:hAnsi="宋体"/>
                <w:color w:val="000000"/>
                <w:sz w:val="18"/>
                <w:u w:val="none"/>
              </w:rPr>
              <w:t>100%</w:t>
            </w:r>
            <w:r>
              <w:rPr>
                <w:rStyle w:val="7"/>
                <w:rFonts w:hint="eastAsia" w:ascii="宋体" w:hAnsi="宋体"/>
                <w:color w:val="000000"/>
                <w:sz w:val="18"/>
                <w:u w:val="none"/>
              </w:rPr>
              <w:t>。</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rStyle w:val="7"/>
                <w:rFonts w:ascii="宋体" w:hAnsi="宋体" w:cs="宋体"/>
                <w:color w:val="000000"/>
                <w:sz w:val="18"/>
                <w:u w:val="none"/>
              </w:rPr>
            </w:pPr>
            <w:r>
              <w:rPr>
                <w:rStyle w:val="7"/>
                <w:rFonts w:hint="eastAsia" w:ascii="宋体" w:hAnsi="宋体"/>
                <w:color w:val="000000"/>
                <w:sz w:val="18"/>
                <w:u w:val="none"/>
              </w:rPr>
              <w:t>各类服务项目的收费按照有关规定执行。收费标准是否公开和便于查阅。</w:t>
            </w:r>
            <w:r>
              <w:rPr>
                <w:rStyle w:val="7"/>
                <w:rFonts w:hint="eastAsia" w:ascii="宋体" w:hAnsi="宋体"/>
                <w:color w:val="000000"/>
                <w:sz w:val="18"/>
                <w:u w:val="none"/>
              </w:rPr>
              <w:tab/>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rStyle w:val="7"/>
                <w:rFonts w:ascii="宋体" w:hAnsi="宋体" w:cs="宋体"/>
                <w:color w:val="000000"/>
                <w:sz w:val="18"/>
                <w:u w:val="none"/>
              </w:rPr>
            </w:pPr>
            <w:r>
              <w:rPr>
                <w:rStyle w:val="7"/>
                <w:rFonts w:hint="eastAsia"/>
                <w:color w:val="000000"/>
                <w:sz w:val="18"/>
                <w:u w:val="none"/>
              </w:rPr>
              <w:t>服务终止时，</w:t>
            </w:r>
            <w:r>
              <w:rPr>
                <w:rStyle w:val="7"/>
                <w:color w:val="000000"/>
                <w:sz w:val="18"/>
                <w:u w:val="none"/>
              </w:rPr>
              <w:t>机构</w:t>
            </w:r>
            <w:r>
              <w:rPr>
                <w:rStyle w:val="7"/>
                <w:rFonts w:hint="eastAsia"/>
                <w:color w:val="000000"/>
                <w:sz w:val="18"/>
                <w:u w:val="none"/>
              </w:rPr>
              <w:t>通知第三方并协助办理出院手续</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17" w:lineRule="auto"/>
              <w:jc w:val="center"/>
              <w:rPr>
                <w:rStyle w:val="7"/>
                <w:rFonts w:ascii="黑体" w:hAnsi="黑体" w:eastAsia="黑体"/>
                <w:color w:val="000000"/>
                <w:sz w:val="18"/>
                <w:u w:val="none"/>
              </w:rPr>
            </w:pPr>
            <w:r>
              <w:rPr>
                <w:rStyle w:val="7"/>
                <w:rFonts w:ascii="黑体" w:hAnsi="黑体" w:eastAsia="黑体"/>
                <w:color w:val="000000"/>
                <w:sz w:val="18"/>
                <w:u w:val="none"/>
              </w:rPr>
              <w:t>2.11</w:t>
            </w:r>
          </w:p>
          <w:p>
            <w:pPr>
              <w:spacing w:line="317" w:lineRule="auto"/>
              <w:jc w:val="center"/>
              <w:rPr>
                <w:rStyle w:val="7"/>
                <w:rFonts w:ascii="黑体" w:hAnsi="黑体" w:eastAsia="黑体"/>
                <w:color w:val="000000"/>
                <w:sz w:val="18"/>
                <w:u w:val="none"/>
              </w:rPr>
            </w:pPr>
            <w:r>
              <w:rPr>
                <w:rStyle w:val="7"/>
                <w:rFonts w:hint="eastAsia" w:ascii="黑体" w:hAnsi="黑体" w:eastAsia="黑体"/>
                <w:color w:val="000000"/>
                <w:sz w:val="18"/>
                <w:u w:val="none"/>
              </w:rPr>
              <w:t>评估服务</w:t>
            </w:r>
          </w:p>
          <w:p>
            <w:pPr>
              <w:spacing w:line="340" w:lineRule="exact"/>
              <w:jc w:val="center"/>
              <w:rPr>
                <w:rFonts w:ascii="宋体" w:hAnsi="宋体" w:cs="宋体"/>
                <w:color w:val="000000"/>
                <w:sz w:val="18"/>
                <w:szCs w:val="21"/>
              </w:rPr>
            </w:pPr>
            <w:r>
              <w:rPr>
                <w:rStyle w:val="7"/>
                <w:rFonts w:hint="eastAsia" w:ascii="黑体" w:hAnsi="黑体" w:eastAsia="黑体"/>
                <w:color w:val="000000"/>
                <w:sz w:val="18"/>
                <w:u w:val="none"/>
              </w:rPr>
              <w:t>20分</w:t>
            </w:r>
          </w:p>
        </w:tc>
        <w:tc>
          <w:tcPr>
            <w:tcW w:w="10177" w:type="dxa"/>
            <w:noWrap/>
            <w:vAlign w:val="top"/>
          </w:tcPr>
          <w:p>
            <w:pPr>
              <w:spacing w:line="317" w:lineRule="auto"/>
              <w:rPr>
                <w:rStyle w:val="7"/>
                <w:color w:val="000000"/>
                <w:sz w:val="18"/>
                <w:u w:val="none"/>
              </w:rPr>
            </w:pPr>
            <w:r>
              <w:rPr>
                <w:rStyle w:val="7"/>
                <w:rFonts w:hint="eastAsia"/>
                <w:color w:val="000000"/>
                <w:sz w:val="18"/>
                <w:u w:val="none"/>
              </w:rPr>
              <w:t>机构建立了老年人能力评估以及跌倒/坠床、吞咽、</w:t>
            </w:r>
            <w:r>
              <w:rPr>
                <w:rStyle w:val="7"/>
                <w:color w:val="000000"/>
                <w:sz w:val="18"/>
                <w:u w:val="none"/>
              </w:rPr>
              <w:t>压疮</w:t>
            </w:r>
            <w:r>
              <w:rPr>
                <w:rStyle w:val="7"/>
                <w:rFonts w:hint="eastAsia"/>
                <w:color w:val="000000"/>
                <w:sz w:val="18"/>
                <w:u w:val="none"/>
              </w:rPr>
              <w:t>、</w:t>
            </w:r>
            <w:r>
              <w:rPr>
                <w:rStyle w:val="7"/>
                <w:color w:val="000000"/>
                <w:sz w:val="18"/>
                <w:u w:val="none"/>
              </w:rPr>
              <w:t>智能</w:t>
            </w:r>
            <w:r>
              <w:rPr>
                <w:rStyle w:val="7"/>
                <w:rFonts w:hint="eastAsia"/>
                <w:color w:val="000000"/>
                <w:sz w:val="18"/>
                <w:u w:val="none"/>
              </w:rPr>
              <w:t>精神状态专项评估的管理制度，</w:t>
            </w:r>
            <w:r>
              <w:rPr>
                <w:rStyle w:val="7"/>
                <w:color w:val="000000"/>
                <w:sz w:val="18"/>
                <w:u w:val="none"/>
              </w:rPr>
              <w:t>管理</w:t>
            </w:r>
            <w:r>
              <w:rPr>
                <w:rStyle w:val="7"/>
                <w:rFonts w:hint="eastAsia"/>
                <w:color w:val="000000"/>
                <w:sz w:val="18"/>
                <w:u w:val="none"/>
              </w:rPr>
              <w:t>制度应包括：具备评估资格的专业团队、</w:t>
            </w:r>
            <w:r>
              <w:rPr>
                <w:rStyle w:val="7"/>
                <w:color w:val="000000"/>
                <w:sz w:val="18"/>
                <w:u w:val="none"/>
              </w:rPr>
              <w:t>专用</w:t>
            </w:r>
            <w:r>
              <w:rPr>
                <w:rStyle w:val="7"/>
                <w:rFonts w:hint="eastAsia"/>
                <w:color w:val="000000"/>
                <w:sz w:val="18"/>
                <w:u w:val="none"/>
              </w:rPr>
              <w:t>设施设备、</w:t>
            </w:r>
            <w:r>
              <w:rPr>
                <w:rStyle w:val="7"/>
                <w:color w:val="000000"/>
                <w:sz w:val="18"/>
                <w:u w:val="none"/>
              </w:rPr>
              <w:t>评估</w:t>
            </w:r>
            <w:r>
              <w:rPr>
                <w:rStyle w:val="7"/>
                <w:rFonts w:hint="eastAsia"/>
                <w:color w:val="000000"/>
                <w:sz w:val="18"/>
                <w:u w:val="none"/>
              </w:rPr>
              <w:t>流程和方法、</w:t>
            </w:r>
            <w:r>
              <w:rPr>
                <w:rStyle w:val="7"/>
                <w:color w:val="000000"/>
                <w:sz w:val="18"/>
                <w:u w:val="none"/>
              </w:rPr>
              <w:t>评价</w:t>
            </w:r>
            <w:r>
              <w:rPr>
                <w:rStyle w:val="7"/>
                <w:rFonts w:hint="eastAsia"/>
                <w:color w:val="000000"/>
                <w:sz w:val="18"/>
                <w:u w:val="none"/>
              </w:rPr>
              <w:t>结果的运用以及再评估的相关要求等。</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rStyle w:val="7"/>
                <w:color w:val="000000"/>
                <w:sz w:val="18"/>
                <w:u w:val="none"/>
              </w:rPr>
            </w:pPr>
            <w:r>
              <w:rPr>
                <w:rStyle w:val="7"/>
                <w:rFonts w:hint="eastAsia"/>
                <w:color w:val="000000"/>
                <w:sz w:val="18"/>
                <w:u w:val="none"/>
              </w:rPr>
              <w:t>机构评估人员正确实施各项评估，</w:t>
            </w:r>
            <w:r>
              <w:rPr>
                <w:rStyle w:val="7"/>
                <w:color w:val="000000"/>
                <w:sz w:val="18"/>
                <w:u w:val="none"/>
              </w:rPr>
              <w:t>再</w:t>
            </w:r>
            <w:r>
              <w:rPr>
                <w:rStyle w:val="7"/>
                <w:rFonts w:hint="eastAsia"/>
                <w:color w:val="000000"/>
                <w:sz w:val="18"/>
                <w:u w:val="none"/>
              </w:rPr>
              <w:t>评估是否及时。</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rStyle w:val="7"/>
                <w:color w:val="000000"/>
                <w:sz w:val="18"/>
                <w:u w:val="none"/>
              </w:rPr>
            </w:pPr>
            <w:r>
              <w:rPr>
                <w:rStyle w:val="7"/>
                <w:rFonts w:hint="eastAsia"/>
                <w:color w:val="000000"/>
                <w:sz w:val="18"/>
                <w:u w:val="none"/>
              </w:rPr>
              <w:t>机构评估结果按规定在护理服务过程中得到了合理的运用。</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939" w:type="dxa"/>
            <w:vMerge w:val="restart"/>
            <w:noWrap/>
            <w:vAlign w:val="center"/>
          </w:tcPr>
          <w:p>
            <w:pPr>
              <w:spacing w:line="317" w:lineRule="auto"/>
              <w:jc w:val="center"/>
              <w:rPr>
                <w:rStyle w:val="7"/>
                <w:rFonts w:ascii="黑体" w:hAnsi="黑体" w:eastAsia="黑体"/>
                <w:color w:val="000000"/>
                <w:sz w:val="18"/>
                <w:u w:val="none"/>
              </w:rPr>
            </w:pPr>
            <w:r>
              <w:rPr>
                <w:rStyle w:val="7"/>
                <w:rFonts w:ascii="黑体" w:hAnsi="黑体" w:eastAsia="黑体"/>
                <w:color w:val="000000"/>
                <w:sz w:val="18"/>
                <w:u w:val="none"/>
              </w:rPr>
              <w:t>2.12</w:t>
            </w:r>
          </w:p>
          <w:p>
            <w:pPr>
              <w:spacing w:line="317" w:lineRule="auto"/>
              <w:jc w:val="center"/>
              <w:rPr>
                <w:rStyle w:val="7"/>
                <w:rFonts w:ascii="黑体" w:hAnsi="黑体" w:eastAsia="黑体"/>
                <w:color w:val="000000"/>
                <w:sz w:val="18"/>
                <w:u w:val="none"/>
              </w:rPr>
            </w:pPr>
            <w:r>
              <w:rPr>
                <w:rStyle w:val="7"/>
                <w:rFonts w:hint="eastAsia" w:ascii="黑体" w:hAnsi="黑体" w:eastAsia="黑体"/>
                <w:color w:val="000000"/>
                <w:sz w:val="18"/>
                <w:u w:val="none"/>
              </w:rPr>
              <w:t>老年人健康管理</w:t>
            </w:r>
          </w:p>
          <w:p>
            <w:pPr>
              <w:spacing w:line="340" w:lineRule="exact"/>
              <w:jc w:val="center"/>
              <w:rPr>
                <w:rFonts w:ascii="宋体" w:hAnsi="宋体" w:cs="宋体"/>
                <w:color w:val="000000"/>
                <w:sz w:val="18"/>
                <w:szCs w:val="21"/>
              </w:rPr>
            </w:pPr>
            <w:r>
              <w:rPr>
                <w:rStyle w:val="7"/>
                <w:rFonts w:hint="eastAsia" w:ascii="黑体" w:hAnsi="黑体" w:eastAsia="黑体"/>
                <w:color w:val="000000"/>
                <w:sz w:val="18"/>
                <w:u w:val="none"/>
              </w:rPr>
              <w:t>20分</w:t>
            </w:r>
          </w:p>
        </w:tc>
        <w:tc>
          <w:tcPr>
            <w:tcW w:w="10177" w:type="dxa"/>
            <w:noWrap/>
            <w:vAlign w:val="top"/>
          </w:tcPr>
          <w:p>
            <w:pPr>
              <w:spacing w:line="317" w:lineRule="auto"/>
              <w:rPr>
                <w:rStyle w:val="7"/>
                <w:color w:val="000000"/>
                <w:sz w:val="18"/>
                <w:u w:val="none"/>
              </w:rPr>
            </w:pPr>
            <w:r>
              <w:rPr>
                <w:rStyle w:val="7"/>
                <w:rFonts w:hint="eastAsia"/>
                <w:color w:val="000000"/>
                <w:sz w:val="18"/>
                <w:u w:val="none"/>
              </w:rPr>
              <w:t>机构建立老年人入住和健康档案，档案覆盖率应为100</w:t>
            </w:r>
            <w:r>
              <w:rPr>
                <w:rStyle w:val="7"/>
                <w:color w:val="000000"/>
                <w:sz w:val="18"/>
                <w:u w:val="none"/>
              </w:rPr>
              <w:t>%</w:t>
            </w:r>
            <w:r>
              <w:rPr>
                <w:rStyle w:val="7"/>
                <w:rFonts w:hint="eastAsia"/>
                <w:color w:val="000000"/>
                <w:sz w:val="18"/>
                <w:u w:val="none"/>
              </w:rPr>
              <w:t>；档案内容包括：</w:t>
            </w:r>
            <w:r>
              <w:rPr>
                <w:rStyle w:val="7"/>
                <w:color w:val="000000"/>
                <w:sz w:val="18"/>
                <w:u w:val="none"/>
              </w:rPr>
              <w:t>服务</w:t>
            </w:r>
            <w:r>
              <w:rPr>
                <w:rStyle w:val="7"/>
                <w:rFonts w:hint="eastAsia"/>
                <w:color w:val="000000"/>
                <w:sz w:val="18"/>
                <w:u w:val="none"/>
              </w:rPr>
              <w:t>合同、</w:t>
            </w:r>
            <w:r>
              <w:rPr>
                <w:rStyle w:val="7"/>
                <w:color w:val="000000"/>
                <w:sz w:val="18"/>
                <w:u w:val="none"/>
              </w:rPr>
              <w:t>老年人</w:t>
            </w:r>
            <w:r>
              <w:rPr>
                <w:rStyle w:val="7"/>
                <w:rFonts w:hint="eastAsia"/>
                <w:color w:val="000000"/>
                <w:sz w:val="18"/>
                <w:u w:val="none"/>
              </w:rPr>
              <w:t>身份证明、</w:t>
            </w:r>
            <w:r>
              <w:rPr>
                <w:rStyle w:val="7"/>
                <w:color w:val="000000"/>
                <w:sz w:val="18"/>
                <w:u w:val="none"/>
              </w:rPr>
              <w:t>病史</w:t>
            </w:r>
            <w:r>
              <w:rPr>
                <w:rStyle w:val="7"/>
                <w:rFonts w:hint="eastAsia"/>
                <w:color w:val="000000"/>
                <w:sz w:val="18"/>
                <w:u w:val="none"/>
              </w:rPr>
              <w:t>记录、</w:t>
            </w:r>
            <w:r>
              <w:rPr>
                <w:rStyle w:val="7"/>
                <w:color w:val="000000"/>
                <w:sz w:val="18"/>
                <w:u w:val="none"/>
              </w:rPr>
              <w:t>体检</w:t>
            </w:r>
            <w:r>
              <w:rPr>
                <w:rStyle w:val="7"/>
                <w:rFonts w:hint="eastAsia"/>
                <w:color w:val="000000"/>
                <w:sz w:val="18"/>
                <w:u w:val="none"/>
              </w:rPr>
              <w:t>报告及评估报告等；</w:t>
            </w:r>
            <w:r>
              <w:rPr>
                <w:rStyle w:val="7"/>
                <w:color w:val="000000"/>
                <w:sz w:val="18"/>
                <w:u w:val="none"/>
              </w:rPr>
              <w:t>档案</w:t>
            </w:r>
            <w:r>
              <w:rPr>
                <w:rStyle w:val="7"/>
                <w:rFonts w:hint="eastAsia"/>
                <w:color w:val="000000"/>
                <w:sz w:val="18"/>
                <w:u w:val="none"/>
              </w:rPr>
              <w:t>保管期限不应少于老年人出院后5年。</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rStyle w:val="7"/>
                <w:color w:val="000000"/>
                <w:sz w:val="18"/>
                <w:u w:val="none"/>
              </w:rPr>
            </w:pPr>
            <w:r>
              <w:rPr>
                <w:rStyle w:val="7"/>
                <w:rFonts w:hint="eastAsia"/>
                <w:color w:val="000000"/>
                <w:sz w:val="18"/>
                <w:u w:val="none"/>
              </w:rPr>
              <w:t>机构每年不少于1次组织老年人体检。</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17" w:lineRule="auto"/>
              <w:rPr>
                <w:rStyle w:val="7"/>
                <w:color w:val="000000"/>
                <w:sz w:val="18"/>
                <w:u w:val="none"/>
              </w:rPr>
            </w:pPr>
            <w:r>
              <w:rPr>
                <w:rStyle w:val="7"/>
                <w:rFonts w:hint="eastAsia"/>
                <w:color w:val="000000"/>
                <w:sz w:val="18"/>
                <w:u w:val="none"/>
              </w:rPr>
              <w:t>机构不少于每季度开展1次老年人保健和传染病预防等宣教活动，</w:t>
            </w:r>
            <w:r>
              <w:rPr>
                <w:rStyle w:val="7"/>
                <w:color w:val="000000"/>
                <w:sz w:val="18"/>
                <w:u w:val="none"/>
              </w:rPr>
              <w:t>并</w:t>
            </w:r>
            <w:r>
              <w:rPr>
                <w:rStyle w:val="7"/>
                <w:rFonts w:hint="eastAsia"/>
                <w:color w:val="000000"/>
                <w:sz w:val="18"/>
                <w:u w:val="none"/>
              </w:rPr>
              <w:t>保持其记录。</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jc w:val="center"/>
              <w:rPr>
                <w:rFonts w:ascii="黑体" w:hAnsi="黑体" w:eastAsia="黑体" w:cs="宋体"/>
                <w:color w:val="000000"/>
                <w:sz w:val="18"/>
                <w:szCs w:val="21"/>
              </w:rPr>
            </w:pPr>
            <w:r>
              <w:rPr>
                <w:rFonts w:ascii="黑体" w:hAnsi="黑体" w:eastAsia="黑体" w:cs="宋体"/>
                <w:color w:val="000000"/>
                <w:sz w:val="18"/>
                <w:szCs w:val="21"/>
              </w:rPr>
              <w:t>2.13</w:t>
            </w:r>
          </w:p>
          <w:p>
            <w:pPr>
              <w:jc w:val="center"/>
              <w:rPr>
                <w:rFonts w:ascii="黑体" w:hAnsi="黑体" w:eastAsia="黑体" w:cs="宋体"/>
                <w:color w:val="000000"/>
                <w:sz w:val="18"/>
                <w:szCs w:val="21"/>
              </w:rPr>
            </w:pPr>
            <w:r>
              <w:rPr>
                <w:rFonts w:hint="eastAsia" w:ascii="黑体" w:hAnsi="黑体" w:eastAsia="黑体" w:cs="宋体"/>
                <w:color w:val="000000"/>
                <w:sz w:val="18"/>
                <w:szCs w:val="21"/>
              </w:rPr>
              <w:t>洗涤服务</w:t>
            </w:r>
          </w:p>
          <w:p>
            <w:pPr>
              <w:spacing w:line="340" w:lineRule="exact"/>
              <w:jc w:val="center"/>
              <w:rPr>
                <w:rFonts w:ascii="宋体" w:hAnsi="宋体" w:cs="宋体"/>
                <w:color w:val="000000"/>
                <w:sz w:val="18"/>
                <w:szCs w:val="21"/>
              </w:rPr>
            </w:pPr>
            <w:r>
              <w:rPr>
                <w:rFonts w:ascii="黑体" w:hAnsi="黑体" w:eastAsia="黑体" w:cs="宋体"/>
                <w:color w:val="000000"/>
                <w:sz w:val="18"/>
                <w:szCs w:val="21"/>
              </w:rPr>
              <w:t>15</w:t>
            </w:r>
            <w:r>
              <w:rPr>
                <w:rFonts w:hint="eastAsia" w:ascii="黑体" w:hAnsi="黑体" w:eastAsia="黑体" w:cs="宋体"/>
                <w:color w:val="000000"/>
                <w:sz w:val="18"/>
                <w:szCs w:val="21"/>
              </w:rPr>
              <w:t>分</w:t>
            </w:r>
          </w:p>
        </w:tc>
        <w:tc>
          <w:tcPr>
            <w:tcW w:w="10177" w:type="dxa"/>
            <w:noWrap/>
            <w:vAlign w:val="top"/>
          </w:tcPr>
          <w:p>
            <w:pPr>
              <w:jc w:val="left"/>
              <w:rPr>
                <w:rStyle w:val="7"/>
                <w:color w:val="000000"/>
                <w:sz w:val="18"/>
                <w:u w:val="none"/>
              </w:rPr>
            </w:pPr>
            <w:r>
              <w:rPr>
                <w:rFonts w:hint="eastAsia" w:ascii="宋体" w:hAnsi="宋体" w:cs="宋体"/>
                <w:color w:val="000000"/>
                <w:sz w:val="18"/>
              </w:rPr>
              <w:t>配备了专门的洗涤人员、洗涤设备及固定场所或有监控的洗涤外包。</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jc w:val="left"/>
              <w:rPr>
                <w:rStyle w:val="7"/>
                <w:color w:val="000000"/>
                <w:sz w:val="18"/>
                <w:u w:val="none"/>
              </w:rPr>
            </w:pPr>
            <w:r>
              <w:rPr>
                <w:rStyle w:val="7"/>
                <w:rFonts w:hint="eastAsia" w:ascii="宋体" w:hAnsi="宋体" w:cs="宋体"/>
                <w:color w:val="000000"/>
                <w:sz w:val="18"/>
                <w:u w:val="none"/>
              </w:rPr>
              <w:t>严格执行衣物分类清洗。</w:t>
            </w:r>
            <w:r>
              <w:rPr>
                <w:rStyle w:val="7"/>
                <w:rFonts w:ascii="宋体" w:hAnsi="宋体" w:cs="宋体"/>
                <w:color w:val="000000"/>
                <w:sz w:val="18"/>
                <w:u w:val="none"/>
              </w:rPr>
              <w:t>被</w:t>
            </w:r>
            <w:r>
              <w:rPr>
                <w:rStyle w:val="7"/>
                <w:rFonts w:hint="eastAsia" w:ascii="宋体" w:hAnsi="宋体" w:cs="宋体"/>
                <w:color w:val="000000"/>
                <w:sz w:val="18"/>
                <w:u w:val="none"/>
              </w:rPr>
              <w:t>污染的织物应单独收集、</w:t>
            </w:r>
            <w:r>
              <w:rPr>
                <w:rStyle w:val="7"/>
                <w:rFonts w:ascii="宋体" w:hAnsi="宋体" w:cs="宋体"/>
                <w:color w:val="000000"/>
                <w:sz w:val="18"/>
                <w:u w:val="none"/>
              </w:rPr>
              <w:t>清洗</w:t>
            </w:r>
            <w:r>
              <w:rPr>
                <w:rStyle w:val="7"/>
                <w:rFonts w:hint="eastAsia" w:ascii="宋体" w:hAnsi="宋体" w:cs="宋体"/>
                <w:color w:val="000000"/>
                <w:sz w:val="18"/>
                <w:u w:val="none"/>
              </w:rPr>
              <w:t>和消毒。</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jc w:val="left"/>
              <w:rPr>
                <w:rStyle w:val="7"/>
                <w:color w:val="000000"/>
                <w:sz w:val="18"/>
                <w:u w:val="none"/>
              </w:rPr>
            </w:pPr>
            <w:r>
              <w:rPr>
                <w:rStyle w:val="7"/>
                <w:rFonts w:hint="eastAsia" w:ascii="宋体" w:hAnsi="宋体" w:cs="宋体"/>
                <w:color w:val="000000"/>
                <w:sz w:val="18"/>
                <w:u w:val="none"/>
              </w:rPr>
              <w:t>需浸泡消毒的衣物消毒采用含氯消毒剂，消毒时间不少于30分钟，经试纸检测消毒一般物品有效氯含量≥250mg/L，消毒污染物品有效氯含量≥500mg/L，煮沸消毒时间为20-30分钟，洗涤剂的洗涤时间为1小时。采用其他消毒方式，</w:t>
            </w:r>
            <w:r>
              <w:rPr>
                <w:rStyle w:val="7"/>
                <w:rFonts w:ascii="宋体" w:hAnsi="宋体" w:cs="宋体"/>
                <w:color w:val="000000"/>
                <w:sz w:val="18"/>
                <w:u w:val="none"/>
              </w:rPr>
              <w:t>应</w:t>
            </w:r>
            <w:r>
              <w:rPr>
                <w:rStyle w:val="7"/>
                <w:rFonts w:hint="eastAsia" w:ascii="宋体" w:hAnsi="宋体" w:cs="宋体"/>
                <w:color w:val="000000"/>
                <w:sz w:val="18"/>
                <w:u w:val="none"/>
              </w:rPr>
              <w:t>提供其消毒效果的有效性证据。</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60" w:lineRule="exact"/>
              <w:jc w:val="center"/>
              <w:rPr>
                <w:rStyle w:val="7"/>
                <w:rFonts w:ascii="黑体" w:hAnsi="黑体" w:eastAsia="黑体"/>
                <w:color w:val="000000"/>
                <w:sz w:val="18"/>
                <w:u w:val="none"/>
              </w:rPr>
            </w:pPr>
            <w:r>
              <w:rPr>
                <w:rStyle w:val="7"/>
                <w:rFonts w:ascii="黑体" w:hAnsi="黑体" w:eastAsia="黑体"/>
                <w:color w:val="000000"/>
                <w:sz w:val="18"/>
                <w:u w:val="none"/>
              </w:rPr>
              <w:t>2.14</w:t>
            </w:r>
          </w:p>
          <w:p>
            <w:pPr>
              <w:spacing w:line="360" w:lineRule="exact"/>
              <w:jc w:val="center"/>
              <w:rPr>
                <w:rStyle w:val="7"/>
                <w:rFonts w:ascii="黑体" w:hAnsi="黑体" w:eastAsia="黑体"/>
                <w:color w:val="000000"/>
                <w:sz w:val="18"/>
                <w:u w:val="none"/>
              </w:rPr>
            </w:pPr>
            <w:r>
              <w:rPr>
                <w:rStyle w:val="7"/>
                <w:rFonts w:hint="eastAsia" w:ascii="黑体" w:hAnsi="黑体" w:eastAsia="黑体"/>
                <w:color w:val="000000"/>
                <w:sz w:val="18"/>
                <w:u w:val="none"/>
              </w:rPr>
              <w:t>膳食服务</w:t>
            </w:r>
          </w:p>
          <w:p>
            <w:pPr>
              <w:spacing w:line="340" w:lineRule="exact"/>
              <w:jc w:val="center"/>
              <w:rPr>
                <w:rFonts w:ascii="宋体" w:hAnsi="宋体" w:cs="宋体"/>
                <w:color w:val="000000"/>
                <w:sz w:val="18"/>
                <w:szCs w:val="21"/>
              </w:rPr>
            </w:pPr>
            <w:r>
              <w:rPr>
                <w:rStyle w:val="7"/>
                <w:rFonts w:hint="eastAsia" w:ascii="黑体" w:hAnsi="黑体" w:eastAsia="黑体"/>
                <w:color w:val="000000"/>
                <w:sz w:val="18"/>
                <w:u w:val="none"/>
              </w:rPr>
              <w:t>3</w:t>
            </w:r>
            <w:r>
              <w:rPr>
                <w:rStyle w:val="7"/>
                <w:rFonts w:ascii="黑体" w:hAnsi="黑体" w:eastAsia="黑体"/>
                <w:color w:val="000000"/>
                <w:sz w:val="18"/>
                <w:u w:val="none"/>
              </w:rPr>
              <w:t>5</w:t>
            </w:r>
            <w:r>
              <w:rPr>
                <w:rStyle w:val="7"/>
                <w:rFonts w:hint="eastAsia" w:ascii="黑体" w:hAnsi="黑体" w:eastAsia="黑体"/>
                <w:color w:val="000000"/>
                <w:sz w:val="18"/>
                <w:u w:val="none"/>
              </w:rPr>
              <w:t>分</w:t>
            </w: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每年不少于一次对入住老年人营养状态进行评估，并提供营养健康报告。</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根据老年人健康状况和疾病要求，提供痛风、高血脂、糖尿病等个性化膳食服务。</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每周对老年人食谱内容进行调整，食谱向老年人公布并存档。</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严格执行食品卫生法；符合GB 14934食（饮）具消毒卫生标准的有关要求；膳食服务提供者健康证持有率是否达到100%；</w:t>
            </w:r>
            <w:r>
              <w:rPr>
                <w:rStyle w:val="7"/>
                <w:rFonts w:ascii="宋体" w:hAnsi="宋体" w:cs="宋体"/>
                <w:color w:val="000000"/>
                <w:sz w:val="18"/>
                <w:u w:val="none"/>
              </w:rPr>
              <w:t>成品</w:t>
            </w:r>
            <w:r>
              <w:rPr>
                <w:rStyle w:val="7"/>
                <w:rFonts w:hint="eastAsia" w:ascii="宋体" w:hAnsi="宋体" w:cs="宋体"/>
                <w:color w:val="000000"/>
                <w:sz w:val="18"/>
                <w:u w:val="none"/>
              </w:rPr>
              <w:t>与半成品分开、</w:t>
            </w:r>
            <w:r>
              <w:rPr>
                <w:rStyle w:val="7"/>
                <w:rFonts w:ascii="宋体" w:hAnsi="宋体" w:cs="宋体"/>
                <w:color w:val="000000"/>
                <w:sz w:val="18"/>
                <w:u w:val="none"/>
              </w:rPr>
              <w:t>生</w:t>
            </w:r>
            <w:r>
              <w:rPr>
                <w:rStyle w:val="7"/>
                <w:rFonts w:hint="eastAsia" w:ascii="宋体" w:hAnsi="宋体" w:cs="宋体"/>
                <w:color w:val="000000"/>
                <w:sz w:val="18"/>
                <w:u w:val="none"/>
              </w:rPr>
              <w:t>熟分开。</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厨房供应的每餐食物留样备查，留样食品应按品种分别盛于清洁消毒后的密封专用容器内，在0℃-</w:t>
            </w:r>
            <w:r>
              <w:rPr>
                <w:rStyle w:val="7"/>
                <w:rFonts w:ascii="宋体" w:hAnsi="宋体" w:cs="宋体"/>
                <w:color w:val="000000"/>
                <w:sz w:val="18"/>
                <w:u w:val="none"/>
              </w:rPr>
              <w:t>4</w:t>
            </w:r>
            <w:r>
              <w:rPr>
                <w:rStyle w:val="7"/>
                <w:rFonts w:hint="eastAsia" w:ascii="宋体" w:hAnsi="宋体" w:cs="宋体"/>
                <w:color w:val="000000"/>
                <w:sz w:val="18"/>
                <w:u w:val="none"/>
              </w:rPr>
              <w:t>℃的条件下存放48小时以上，每个品种留样不少于100g。</w:t>
            </w:r>
            <w:r>
              <w:rPr>
                <w:rStyle w:val="7"/>
                <w:rFonts w:hint="eastAsia" w:ascii="宋体" w:hAnsi="宋体" w:cs="宋体"/>
                <w:color w:val="000000"/>
                <w:sz w:val="18"/>
                <w:u w:val="none"/>
              </w:rPr>
              <w:tab/>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60" w:lineRule="exact"/>
              <w:jc w:val="center"/>
              <w:rPr>
                <w:rStyle w:val="7"/>
                <w:rFonts w:ascii="黑体" w:hAnsi="黑体" w:eastAsia="黑体" w:cs="宋体"/>
                <w:color w:val="000000"/>
                <w:sz w:val="18"/>
                <w:u w:val="none"/>
              </w:rPr>
            </w:pPr>
            <w:r>
              <w:rPr>
                <w:rStyle w:val="7"/>
                <w:rFonts w:ascii="黑体" w:hAnsi="黑体" w:eastAsia="黑体" w:cs="宋体"/>
                <w:color w:val="000000"/>
                <w:sz w:val="18"/>
                <w:u w:val="none"/>
              </w:rPr>
              <w:t>2.15</w:t>
            </w:r>
          </w:p>
          <w:p>
            <w:pPr>
              <w:spacing w:line="360" w:lineRule="exact"/>
              <w:jc w:val="center"/>
              <w:rPr>
                <w:rStyle w:val="7"/>
                <w:rFonts w:ascii="黑体" w:hAnsi="黑体" w:eastAsia="黑体" w:cs="宋体"/>
                <w:color w:val="000000"/>
                <w:sz w:val="18"/>
                <w:u w:val="none"/>
              </w:rPr>
            </w:pPr>
            <w:r>
              <w:rPr>
                <w:rStyle w:val="7"/>
                <w:rFonts w:hint="eastAsia" w:ascii="黑体" w:hAnsi="黑体" w:eastAsia="黑体" w:cs="宋体"/>
                <w:color w:val="000000"/>
                <w:sz w:val="18"/>
                <w:u w:val="none"/>
              </w:rPr>
              <w:t>心理</w:t>
            </w:r>
            <w:r>
              <w:rPr>
                <w:rStyle w:val="7"/>
                <w:rFonts w:ascii="黑体" w:hAnsi="黑体" w:eastAsia="黑体" w:cs="宋体"/>
                <w:color w:val="000000"/>
                <w:sz w:val="18"/>
                <w:u w:val="none"/>
              </w:rPr>
              <w:t>/精神支持</w:t>
            </w:r>
            <w:r>
              <w:rPr>
                <w:rStyle w:val="7"/>
                <w:rFonts w:hint="eastAsia" w:ascii="黑体" w:hAnsi="黑体" w:eastAsia="黑体" w:cs="宋体"/>
                <w:color w:val="000000"/>
                <w:sz w:val="18"/>
                <w:u w:val="none"/>
              </w:rPr>
              <w:t>和</w:t>
            </w:r>
          </w:p>
          <w:p>
            <w:pPr>
              <w:spacing w:line="360" w:lineRule="exact"/>
              <w:jc w:val="center"/>
              <w:rPr>
                <w:rStyle w:val="7"/>
                <w:rFonts w:ascii="黑体" w:hAnsi="黑体" w:eastAsia="黑体" w:cs="宋体"/>
                <w:color w:val="000000"/>
                <w:sz w:val="18"/>
                <w:u w:val="none"/>
              </w:rPr>
            </w:pPr>
            <w:r>
              <w:rPr>
                <w:rStyle w:val="7"/>
                <w:rFonts w:hint="eastAsia" w:ascii="黑体" w:hAnsi="黑体" w:eastAsia="黑体" w:cs="宋体"/>
                <w:color w:val="000000"/>
                <w:sz w:val="18"/>
                <w:u w:val="none"/>
              </w:rPr>
              <w:t>休闲娱乐</w:t>
            </w:r>
          </w:p>
          <w:p>
            <w:pPr>
              <w:spacing w:line="340" w:lineRule="exact"/>
              <w:jc w:val="center"/>
              <w:rPr>
                <w:rFonts w:ascii="宋体" w:hAnsi="宋体" w:cs="宋体"/>
                <w:color w:val="000000"/>
                <w:sz w:val="18"/>
                <w:szCs w:val="21"/>
              </w:rPr>
            </w:pPr>
            <w:r>
              <w:rPr>
                <w:rStyle w:val="7"/>
                <w:rFonts w:hint="eastAsia" w:ascii="黑体" w:hAnsi="黑体" w:eastAsia="黑体" w:cs="宋体"/>
                <w:color w:val="000000"/>
                <w:sz w:val="18"/>
                <w:u w:val="none"/>
              </w:rPr>
              <w:t>35分</w:t>
            </w: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cs="宋体"/>
                <w:color w:val="000000"/>
                <w:sz w:val="18"/>
                <w:u w:val="none"/>
              </w:rPr>
              <w:t>机构对新入住的老年人制定并实施入住适应计划，</w:t>
            </w:r>
            <w:r>
              <w:rPr>
                <w:rStyle w:val="7"/>
                <w:rFonts w:cs="宋体"/>
                <w:color w:val="000000"/>
                <w:sz w:val="18"/>
                <w:u w:val="none"/>
              </w:rPr>
              <w:t>以</w:t>
            </w:r>
            <w:r>
              <w:rPr>
                <w:rStyle w:val="7"/>
                <w:rFonts w:hint="eastAsia" w:cs="宋体"/>
                <w:color w:val="000000"/>
                <w:sz w:val="18"/>
                <w:u w:val="none"/>
              </w:rPr>
              <w:t>帮助老年人熟悉机构、</w:t>
            </w:r>
            <w:r>
              <w:rPr>
                <w:rStyle w:val="7"/>
                <w:rFonts w:cs="宋体"/>
                <w:color w:val="000000"/>
                <w:sz w:val="18"/>
                <w:u w:val="none"/>
              </w:rPr>
              <w:t>融入</w:t>
            </w:r>
            <w:r>
              <w:rPr>
                <w:rStyle w:val="7"/>
                <w:rFonts w:hint="eastAsia" w:cs="宋体"/>
                <w:color w:val="000000"/>
                <w:sz w:val="18"/>
                <w:u w:val="none"/>
              </w:rPr>
              <w:t>集体生活。</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cs="宋体"/>
                <w:color w:val="000000"/>
                <w:sz w:val="18"/>
                <w:u w:val="none"/>
              </w:rPr>
              <w:t>建立入住老年人谈话并记录制度，发现</w:t>
            </w:r>
            <w:r>
              <w:rPr>
                <w:rStyle w:val="7"/>
                <w:rFonts w:cs="宋体"/>
                <w:color w:val="000000"/>
                <w:sz w:val="18"/>
                <w:u w:val="none"/>
              </w:rPr>
              <w:t>异常</w:t>
            </w:r>
            <w:r>
              <w:rPr>
                <w:rStyle w:val="7"/>
                <w:rFonts w:hint="eastAsia" w:cs="宋体"/>
                <w:color w:val="000000"/>
                <w:sz w:val="18"/>
                <w:u w:val="none"/>
              </w:rPr>
              <w:t>，</w:t>
            </w:r>
            <w:r>
              <w:rPr>
                <w:rStyle w:val="7"/>
                <w:rFonts w:cs="宋体"/>
                <w:color w:val="000000"/>
                <w:sz w:val="18"/>
                <w:u w:val="none"/>
              </w:rPr>
              <w:t>应</w:t>
            </w:r>
            <w:r>
              <w:rPr>
                <w:rStyle w:val="7"/>
                <w:rFonts w:hint="eastAsia" w:cs="宋体"/>
                <w:color w:val="000000"/>
                <w:sz w:val="18"/>
                <w:u w:val="none"/>
              </w:rPr>
              <w:t>及时报告。必要时，</w:t>
            </w:r>
            <w:r>
              <w:rPr>
                <w:rStyle w:val="7"/>
                <w:rFonts w:cs="宋体"/>
                <w:color w:val="000000"/>
                <w:sz w:val="18"/>
                <w:u w:val="none"/>
              </w:rPr>
              <w:t>应</w:t>
            </w:r>
            <w:r>
              <w:rPr>
                <w:rStyle w:val="7"/>
                <w:rFonts w:hint="eastAsia" w:cs="宋体"/>
                <w:color w:val="000000"/>
                <w:sz w:val="18"/>
                <w:u w:val="none"/>
              </w:rPr>
              <w:t>由社工或心理咨询师参与进行心理干预并记录效果。</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cs="宋体"/>
                <w:color w:val="000000"/>
                <w:sz w:val="18"/>
                <w:u w:val="none"/>
              </w:rPr>
              <w:t>护理人员了解并掌握老年人心理评估基本方法及应对措施。</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机构建立并实施了督促家属或相关第三方定期探访老年人的制度。</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有必要的设施和场所并提供有社工组织的休闲娱乐活动，1项/日。</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ascii="宋体" w:hAnsi="宋体" w:cs="宋体"/>
                <w:color w:val="000000"/>
                <w:sz w:val="18"/>
                <w:u w:val="none"/>
              </w:rPr>
              <w:t>组织自理老人每季度参加1次公益活动</w:t>
            </w:r>
            <w:r>
              <w:rPr>
                <w:rStyle w:val="7"/>
                <w:rFonts w:hint="eastAsia" w:ascii="宋体" w:hAnsi="宋体" w:cs="宋体"/>
                <w:color w:val="000000"/>
                <w:sz w:val="18"/>
                <w:u w:val="none"/>
              </w:rPr>
              <w:tab/>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60" w:lineRule="exact"/>
              <w:jc w:val="center"/>
              <w:rPr>
                <w:rFonts w:ascii="黑体" w:hAnsi="黑体" w:eastAsia="黑体" w:cs="宋体"/>
                <w:color w:val="000000"/>
                <w:sz w:val="18"/>
                <w:szCs w:val="21"/>
              </w:rPr>
            </w:pPr>
            <w:r>
              <w:rPr>
                <w:rFonts w:ascii="黑体" w:hAnsi="黑体" w:eastAsia="黑体" w:cs="宋体"/>
                <w:color w:val="000000"/>
                <w:sz w:val="18"/>
                <w:szCs w:val="21"/>
              </w:rPr>
              <w:t>2.1</w:t>
            </w:r>
            <w:r>
              <w:rPr>
                <w:rFonts w:hint="eastAsia" w:ascii="黑体" w:hAnsi="黑体" w:eastAsia="黑体" w:cs="宋体"/>
                <w:color w:val="000000"/>
                <w:sz w:val="18"/>
                <w:szCs w:val="21"/>
              </w:rPr>
              <w:t>6安宁服务</w:t>
            </w:r>
          </w:p>
          <w:p>
            <w:pPr>
              <w:spacing w:line="340" w:lineRule="exact"/>
              <w:jc w:val="center"/>
              <w:rPr>
                <w:rFonts w:ascii="宋体" w:hAnsi="宋体" w:cs="宋体"/>
                <w:color w:val="000000"/>
                <w:sz w:val="18"/>
                <w:szCs w:val="21"/>
              </w:rPr>
            </w:pPr>
            <w:r>
              <w:rPr>
                <w:rFonts w:ascii="黑体" w:hAnsi="黑体" w:eastAsia="黑体" w:cs="宋体"/>
                <w:color w:val="000000"/>
                <w:sz w:val="18"/>
                <w:szCs w:val="21"/>
              </w:rPr>
              <w:t>10</w:t>
            </w:r>
            <w:r>
              <w:rPr>
                <w:rFonts w:hint="eastAsia" w:ascii="黑体" w:hAnsi="黑体" w:eastAsia="黑体" w:cs="宋体"/>
                <w:color w:val="000000"/>
                <w:sz w:val="18"/>
                <w:szCs w:val="21"/>
              </w:rPr>
              <w:t>分</w:t>
            </w: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cs="宋体"/>
                <w:color w:val="000000"/>
                <w:sz w:val="18"/>
                <w:u w:val="none"/>
              </w:rPr>
              <w:t>制定相关服务规程并有固定的场所，帮助老年人安详、</w:t>
            </w:r>
            <w:r>
              <w:rPr>
                <w:rStyle w:val="7"/>
                <w:rFonts w:cs="宋体"/>
                <w:color w:val="000000"/>
                <w:sz w:val="18"/>
                <w:u w:val="none"/>
              </w:rPr>
              <w:t>有</w:t>
            </w:r>
            <w:r>
              <w:rPr>
                <w:rStyle w:val="7"/>
                <w:rFonts w:hint="eastAsia" w:cs="宋体"/>
                <w:color w:val="000000"/>
                <w:sz w:val="18"/>
                <w:u w:val="none"/>
              </w:rPr>
              <w:t>尊严地度过生命终期。</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top"/>
          </w:tcPr>
          <w:p>
            <w:pPr>
              <w:spacing w:line="360" w:lineRule="exact"/>
              <w:jc w:val="left"/>
              <w:rPr>
                <w:rStyle w:val="7"/>
                <w:rFonts w:ascii="宋体" w:hAnsi="宋体" w:cs="宋体"/>
                <w:color w:val="000000"/>
                <w:sz w:val="18"/>
                <w:u w:val="none"/>
              </w:rPr>
            </w:pPr>
            <w:r>
              <w:rPr>
                <w:rStyle w:val="7"/>
                <w:rFonts w:hint="eastAsia" w:cs="宋体"/>
                <w:color w:val="000000"/>
                <w:sz w:val="18"/>
                <w:u w:val="none"/>
              </w:rPr>
              <w:t>设有专人进行哀伤辅导和后事指导。</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17" w:lineRule="auto"/>
              <w:jc w:val="center"/>
              <w:rPr>
                <w:rFonts w:ascii="黑体" w:hAnsi="黑体" w:eastAsia="黑体" w:cs="黑体"/>
                <w:color w:val="000000"/>
                <w:sz w:val="18"/>
                <w:szCs w:val="18"/>
              </w:rPr>
            </w:pPr>
            <w:r>
              <w:rPr>
                <w:rFonts w:hint="eastAsia" w:ascii="黑体" w:hAnsi="黑体" w:eastAsia="黑体" w:cs="黑体"/>
                <w:color w:val="000000"/>
                <w:sz w:val="18"/>
                <w:szCs w:val="18"/>
              </w:rPr>
              <w:t>2.17教育服务</w:t>
            </w:r>
          </w:p>
          <w:p>
            <w:pPr>
              <w:spacing w:line="317" w:lineRule="auto"/>
              <w:jc w:val="center"/>
              <w:rPr>
                <w:rFonts w:ascii="宋体" w:hAnsi="宋体" w:cs="宋体"/>
                <w:color w:val="000000"/>
                <w:sz w:val="18"/>
                <w:szCs w:val="18"/>
              </w:rPr>
            </w:pPr>
            <w:r>
              <w:rPr>
                <w:rFonts w:hint="eastAsia" w:ascii="黑体" w:hAnsi="黑体" w:eastAsia="黑体" w:cs="黑体"/>
                <w:color w:val="000000"/>
                <w:sz w:val="18"/>
                <w:szCs w:val="18"/>
              </w:rPr>
              <w:t>10分</w:t>
            </w:r>
          </w:p>
        </w:tc>
        <w:tc>
          <w:tcPr>
            <w:tcW w:w="10177" w:type="dxa"/>
            <w:noWrap/>
            <w:vAlign w:val="center"/>
          </w:tcPr>
          <w:p>
            <w:pPr>
              <w:spacing w:line="360" w:lineRule="exact"/>
              <w:rPr>
                <w:rStyle w:val="7"/>
                <w:rFonts w:ascii="宋体" w:hAnsi="宋体" w:cs="宋体"/>
                <w:color w:val="000000"/>
                <w:sz w:val="18"/>
                <w:u w:val="none"/>
              </w:rPr>
            </w:pPr>
            <w:r>
              <w:rPr>
                <w:rFonts w:hint="eastAsia" w:ascii="宋体" w:hAnsi="宋体" w:cs="黑体"/>
                <w:color w:val="000000"/>
                <w:sz w:val="18"/>
                <w:szCs w:val="21"/>
              </w:rPr>
              <w:t>有独立的场地，有专门的教学设备且能正常使用；教育内容丰富，包括安全知识、思想道德、科学文化、心理健康、法律法规、消费理财、闲暇生活、代际沟通、生命尊严等。</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18"/>
              </w:rPr>
            </w:pPr>
          </w:p>
        </w:tc>
        <w:tc>
          <w:tcPr>
            <w:tcW w:w="10177" w:type="dxa"/>
            <w:noWrap/>
            <w:vAlign w:val="center"/>
          </w:tcPr>
          <w:p>
            <w:pPr>
              <w:spacing w:line="360" w:lineRule="exact"/>
              <w:rPr>
                <w:rStyle w:val="7"/>
                <w:rFonts w:ascii="宋体" w:hAnsi="宋体" w:cs="宋体"/>
                <w:color w:val="000000"/>
                <w:sz w:val="18"/>
                <w:u w:val="none"/>
              </w:rPr>
            </w:pPr>
            <w:r>
              <w:rPr>
                <w:rFonts w:hint="eastAsia" w:ascii="宋体" w:hAnsi="宋体" w:cs="黑体"/>
                <w:color w:val="000000"/>
                <w:sz w:val="18"/>
                <w:szCs w:val="21"/>
              </w:rPr>
              <w:t>能够提供多种学习形式供老年人选择，如网上学习、游学、志愿服务等；每季度至少举办1次老年课堂或各类知识讲座。</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restart"/>
            <w:noWrap/>
            <w:vAlign w:val="center"/>
          </w:tcPr>
          <w:p>
            <w:pPr>
              <w:spacing w:line="317" w:lineRule="auto"/>
              <w:jc w:val="center"/>
              <w:rPr>
                <w:rFonts w:ascii="黑体" w:hAnsi="黑体" w:eastAsia="黑体" w:cs="黑体"/>
                <w:color w:val="000000"/>
                <w:sz w:val="18"/>
                <w:szCs w:val="18"/>
              </w:rPr>
            </w:pPr>
            <w:r>
              <w:rPr>
                <w:rFonts w:hint="eastAsia" w:ascii="黑体" w:hAnsi="黑体" w:eastAsia="黑体" w:cs="黑体"/>
                <w:color w:val="000000"/>
                <w:sz w:val="18"/>
                <w:szCs w:val="18"/>
              </w:rPr>
              <w:t>2.18居家服务</w:t>
            </w:r>
          </w:p>
          <w:p>
            <w:pPr>
              <w:spacing w:line="317" w:lineRule="auto"/>
              <w:jc w:val="center"/>
              <w:rPr>
                <w:rFonts w:ascii="宋体" w:hAnsi="宋体" w:cs="宋体"/>
                <w:color w:val="000000"/>
                <w:sz w:val="18"/>
                <w:szCs w:val="18"/>
              </w:rPr>
            </w:pPr>
            <w:r>
              <w:rPr>
                <w:rFonts w:hint="eastAsia" w:ascii="黑体" w:hAnsi="黑体" w:eastAsia="黑体" w:cs="黑体"/>
                <w:color w:val="000000"/>
                <w:sz w:val="18"/>
                <w:szCs w:val="18"/>
              </w:rPr>
              <w:t>15分</w:t>
            </w:r>
          </w:p>
        </w:tc>
        <w:tc>
          <w:tcPr>
            <w:tcW w:w="10177" w:type="dxa"/>
            <w:noWrap/>
            <w:vAlign w:val="center"/>
          </w:tcPr>
          <w:p>
            <w:pPr>
              <w:spacing w:line="360" w:lineRule="exact"/>
              <w:rPr>
                <w:rStyle w:val="7"/>
                <w:rFonts w:ascii="宋体" w:hAnsi="宋体" w:cs="宋体"/>
                <w:color w:val="000000"/>
                <w:sz w:val="18"/>
                <w:u w:val="none"/>
              </w:rPr>
            </w:pPr>
            <w:r>
              <w:rPr>
                <w:rFonts w:hint="eastAsia" w:ascii="宋体" w:hAnsi="宋体" w:cs="黑体"/>
                <w:color w:val="000000"/>
                <w:sz w:val="18"/>
                <w:szCs w:val="21"/>
              </w:rPr>
              <w:t>建立居家服务老年人档案，档案应包括但不限于服务对象基础信息、健康信息、需求信息和服务信息。</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center"/>
          </w:tcPr>
          <w:p>
            <w:pPr>
              <w:spacing w:line="360" w:lineRule="exact"/>
              <w:rPr>
                <w:rStyle w:val="7"/>
                <w:rFonts w:ascii="宋体" w:hAnsi="宋体" w:cs="宋体"/>
                <w:color w:val="000000"/>
                <w:sz w:val="18"/>
                <w:u w:val="none"/>
              </w:rPr>
            </w:pPr>
            <w:r>
              <w:rPr>
                <w:rFonts w:hint="eastAsia" w:ascii="宋体" w:hAnsi="宋体" w:cs="黑体"/>
                <w:color w:val="000000"/>
                <w:sz w:val="18"/>
                <w:szCs w:val="21"/>
              </w:rPr>
              <w:t>为社区养老服务组织或老年人家属提供专业支持，如人员技能培训、家庭照顾者培训、外派社会工作者到社区开展活动，为社区和家庭提供适老化改造咨询服务、承接社区老年人社会工作项目等。</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39" w:type="dxa"/>
            <w:vMerge w:val="continue"/>
            <w:noWrap/>
            <w:vAlign w:val="top"/>
          </w:tcPr>
          <w:p>
            <w:pPr>
              <w:spacing w:line="340" w:lineRule="exact"/>
              <w:jc w:val="left"/>
              <w:rPr>
                <w:rFonts w:ascii="宋体" w:hAnsi="宋体" w:cs="宋体"/>
                <w:color w:val="000000"/>
                <w:sz w:val="18"/>
                <w:szCs w:val="21"/>
              </w:rPr>
            </w:pPr>
          </w:p>
        </w:tc>
        <w:tc>
          <w:tcPr>
            <w:tcW w:w="10177" w:type="dxa"/>
            <w:noWrap/>
            <w:vAlign w:val="center"/>
          </w:tcPr>
          <w:p>
            <w:pPr>
              <w:spacing w:line="360" w:lineRule="exact"/>
              <w:rPr>
                <w:rStyle w:val="7"/>
                <w:rFonts w:ascii="宋体" w:hAnsi="宋体" w:cs="宋体"/>
                <w:color w:val="000000"/>
                <w:sz w:val="18"/>
                <w:u w:val="none"/>
              </w:rPr>
            </w:pPr>
            <w:r>
              <w:rPr>
                <w:rFonts w:hint="eastAsia" w:ascii="宋体" w:hAnsi="宋体" w:cs="黑体"/>
                <w:color w:val="000000"/>
                <w:sz w:val="18"/>
                <w:szCs w:val="21"/>
              </w:rPr>
              <w:t>设有居家养老服务平台（APP、微信小程序或网站）供老年人网络下单或提供电话下单服务。</w:t>
            </w:r>
          </w:p>
        </w:tc>
        <w:tc>
          <w:tcPr>
            <w:tcW w:w="738" w:type="dxa"/>
            <w:noWrap/>
            <w:vAlign w:val="center"/>
          </w:tcPr>
          <w:p>
            <w:pPr>
              <w:spacing w:line="340" w:lineRule="exact"/>
              <w:jc w:val="center"/>
              <w:rPr>
                <w:rStyle w:val="7"/>
                <w:rFonts w:ascii="宋体" w:hAnsi="宋体" w:cs="宋体"/>
                <w:color w:val="000000"/>
                <w:sz w:val="18"/>
                <w:u w:val="none"/>
              </w:rPr>
            </w:pPr>
            <w:r>
              <w:rPr>
                <w:rStyle w:val="7"/>
                <w:rFonts w:hint="eastAsia" w:ascii="宋体" w:hAnsi="宋体" w:cs="宋体"/>
                <w:color w:val="000000"/>
                <w:sz w:val="18"/>
                <w:u w:val="none"/>
              </w:rPr>
              <w:t>5</w:t>
            </w:r>
          </w:p>
        </w:tc>
        <w:tc>
          <w:tcPr>
            <w:tcW w:w="785" w:type="dxa"/>
            <w:noWrap/>
            <w:vAlign w:val="top"/>
          </w:tcPr>
          <w:p>
            <w:pPr>
              <w:spacing w:line="340" w:lineRule="exact"/>
              <w:jc w:val="left"/>
              <w:rPr>
                <w:rStyle w:val="7"/>
                <w:rFonts w:ascii="黑体" w:hAnsi="黑体" w:eastAsia="黑体"/>
                <w:color w:val="000000"/>
                <w:sz w:val="24"/>
                <w:u w:val="none"/>
              </w:rPr>
            </w:pPr>
          </w:p>
        </w:tc>
      </w:tr>
    </w:tbl>
    <w:p>
      <w:pPr>
        <w:tabs>
          <w:tab w:val="left" w:pos="1021"/>
        </w:tabs>
        <w:jc w:val="left"/>
        <w:rPr>
          <w:rStyle w:val="7"/>
          <w:rFonts w:ascii="黑体" w:hAnsi="黑体" w:eastAsia="黑体"/>
          <w:color w:val="000000"/>
          <w:sz w:val="24"/>
          <w:u w:val="none"/>
        </w:rPr>
      </w:pPr>
    </w:p>
    <w:p>
      <w:pPr>
        <w:ind w:left="2"/>
        <w:jc w:val="left"/>
        <w:rPr>
          <w:rFonts w:ascii="宋体" w:hAnsi="宋体"/>
          <w:sz w:val="28"/>
          <w:szCs w:val="28"/>
        </w:rPr>
        <w:sectPr>
          <w:pgSz w:w="16838" w:h="11906" w:orient="landscape"/>
          <w:pgMar w:top="1800" w:right="1440" w:bottom="1985" w:left="1440" w:header="851" w:footer="992" w:gutter="0"/>
          <w:pgNumType w:fmt="numberInDash"/>
          <w:cols w:space="425" w:num="1"/>
          <w:docGrid w:type="lines" w:linePitch="312" w:charSpace="0"/>
        </w:sectPr>
      </w:pPr>
    </w:p>
    <w:p>
      <w:pPr>
        <w:ind w:left="1" w:leftChars="-270" w:hanging="568" w:hangingChars="237"/>
        <w:jc w:val="left"/>
        <w:rPr>
          <w:rFonts w:ascii="宋体" w:hAnsi="宋体"/>
          <w:color w:val="000000"/>
          <w:sz w:val="24"/>
        </w:rPr>
      </w:pPr>
      <w:r>
        <w:rPr>
          <w:rFonts w:ascii="宋体" w:hAnsi="宋体"/>
          <w:color w:val="000000"/>
          <w:sz w:val="24"/>
        </w:rPr>
        <w:t>3.0结果性指标，总分2</w:t>
      </w:r>
      <w:r>
        <w:rPr>
          <w:rFonts w:hint="eastAsia" w:ascii="宋体" w:hAnsi="宋体"/>
          <w:color w:val="000000"/>
          <w:sz w:val="24"/>
        </w:rPr>
        <w:t>0</w:t>
      </w:r>
      <w:r>
        <w:rPr>
          <w:rFonts w:ascii="宋体" w:hAnsi="宋体"/>
          <w:color w:val="000000"/>
          <w:sz w:val="24"/>
        </w:rPr>
        <w:t>0分。</w:t>
      </w:r>
    </w:p>
    <w:tbl>
      <w:tblPr>
        <w:tblStyle w:val="4"/>
        <w:tblpPr w:leftFromText="180" w:rightFromText="180" w:horzAnchor="margin" w:tblpXSpec="center" w:tblpY="636"/>
        <w:tblW w:w="9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835"/>
        <w:gridCol w:w="3260"/>
        <w:gridCol w:w="885"/>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51"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olor w:val="000000"/>
                <w:sz w:val="24"/>
                <w:u w:val="none"/>
              </w:rPr>
            </w:pPr>
            <w:r>
              <w:rPr>
                <w:rStyle w:val="7"/>
                <w:rFonts w:hint="eastAsia" w:ascii="宋体" w:hAnsi="宋体"/>
                <w:color w:val="000000"/>
                <w:sz w:val="24"/>
                <w:u w:val="none"/>
              </w:rPr>
              <w:t>评定指标</w:t>
            </w:r>
          </w:p>
        </w:tc>
        <w:tc>
          <w:tcPr>
            <w:tcW w:w="2835" w:type="dxa"/>
            <w:tcBorders>
              <w:top w:val="single" w:color="auto" w:sz="4" w:space="0"/>
              <w:left w:val="single" w:color="auto" w:sz="4" w:space="0"/>
              <w:bottom w:val="single" w:color="auto" w:sz="4" w:space="0"/>
              <w:right w:val="single" w:color="auto" w:sz="4" w:space="0"/>
            </w:tcBorders>
            <w:noWrap/>
            <w:vAlign w:val="top"/>
          </w:tcPr>
          <w:p>
            <w:pPr>
              <w:rPr>
                <w:rStyle w:val="7"/>
                <w:rFonts w:ascii="宋体" w:hAnsi="宋体"/>
                <w:color w:val="000000"/>
                <w:sz w:val="24"/>
                <w:u w:val="none"/>
              </w:rPr>
            </w:pPr>
            <w:r>
              <w:rPr>
                <w:rStyle w:val="7"/>
                <w:rFonts w:hint="eastAsia" w:ascii="宋体" w:hAnsi="宋体"/>
                <w:color w:val="000000"/>
                <w:sz w:val="24"/>
                <w:u w:val="none"/>
              </w:rPr>
              <w:t>评定标准</w:t>
            </w:r>
          </w:p>
        </w:tc>
        <w:tc>
          <w:tcPr>
            <w:tcW w:w="3260" w:type="dxa"/>
            <w:tcBorders>
              <w:top w:val="single" w:color="auto" w:sz="4" w:space="0"/>
              <w:left w:val="single" w:color="auto" w:sz="4" w:space="0"/>
              <w:bottom w:val="single" w:color="auto" w:sz="4" w:space="0"/>
              <w:right w:val="single" w:color="auto" w:sz="4" w:space="0"/>
            </w:tcBorders>
            <w:noWrap/>
            <w:vAlign w:val="top"/>
          </w:tcPr>
          <w:p>
            <w:pPr>
              <w:rPr>
                <w:rStyle w:val="7"/>
                <w:rFonts w:ascii="宋体" w:hAnsi="宋体"/>
                <w:color w:val="000000"/>
                <w:sz w:val="24"/>
                <w:u w:val="none"/>
              </w:rPr>
            </w:pPr>
            <w:r>
              <w:rPr>
                <w:rStyle w:val="7"/>
                <w:rFonts w:hint="eastAsia" w:ascii="宋体" w:hAnsi="宋体"/>
                <w:color w:val="000000"/>
                <w:sz w:val="24"/>
                <w:u w:val="none"/>
              </w:rPr>
              <w:t>定义</w:t>
            </w:r>
            <w:r>
              <w:rPr>
                <w:rStyle w:val="7"/>
                <w:rFonts w:ascii="宋体" w:hAnsi="宋体"/>
                <w:color w:val="000000"/>
                <w:sz w:val="24"/>
                <w:u w:val="none"/>
              </w:rPr>
              <w:t>/计算公式</w:t>
            </w: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分值</w:t>
            </w:r>
          </w:p>
        </w:tc>
        <w:tc>
          <w:tcPr>
            <w:tcW w:w="778"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olor w:val="000000"/>
                <w:sz w:val="24"/>
                <w:u w:val="none"/>
              </w:rPr>
            </w:pPr>
            <w:r>
              <w:rPr>
                <w:rStyle w:val="7"/>
                <w:rFonts w:hint="eastAsia" w:ascii="宋体" w:hAnsi="宋体" w:cs="宋体"/>
                <w:color w:val="000000"/>
                <w:sz w:val="18"/>
                <w:u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r>
              <w:rPr>
                <w:rFonts w:ascii="宋体" w:hAnsi="宋体" w:cs="宋体"/>
                <w:color w:val="000000"/>
                <w:sz w:val="18"/>
                <w:szCs w:val="21"/>
              </w:rPr>
              <w:t>3.1床位入住率</w:t>
            </w:r>
          </w:p>
          <w:p>
            <w:pPr>
              <w:jc w:val="left"/>
              <w:rPr>
                <w:rFonts w:ascii="宋体" w:hAnsi="宋体" w:cs="宋体"/>
                <w:color w:val="000000"/>
                <w:sz w:val="18"/>
                <w:szCs w:val="21"/>
              </w:rPr>
            </w:pPr>
            <w:r>
              <w:rPr>
                <w:rFonts w:hint="eastAsia" w:ascii="宋体" w:hAnsi="宋体" w:cs="宋体"/>
                <w:color w:val="000000"/>
                <w:sz w:val="18"/>
                <w:szCs w:val="21"/>
              </w:rPr>
              <w:t>3</w:t>
            </w:r>
            <w:r>
              <w:rPr>
                <w:rFonts w:ascii="宋体" w:hAnsi="宋体" w:cs="宋体"/>
                <w:color w:val="000000"/>
                <w:sz w:val="18"/>
                <w:szCs w:val="21"/>
              </w:rPr>
              <w:t>0分</w:t>
            </w:r>
          </w:p>
        </w:tc>
        <w:tc>
          <w:tcPr>
            <w:tcW w:w="2835" w:type="dxa"/>
            <w:tcBorders>
              <w:top w:val="single" w:color="auto" w:sz="4" w:space="0"/>
              <w:left w:val="single" w:color="auto" w:sz="4" w:space="0"/>
              <w:bottom w:val="single" w:color="auto" w:sz="4" w:space="0"/>
              <w:right w:val="single" w:color="auto" w:sz="4" w:space="0"/>
            </w:tcBorders>
            <w:noWrap/>
            <w:vAlign w:val="top"/>
          </w:tcPr>
          <w:p>
            <w:pPr>
              <w:rPr>
                <w:rStyle w:val="7"/>
                <w:rFonts w:ascii="宋体" w:hAnsi="宋体"/>
                <w:color w:val="000000"/>
                <w:sz w:val="24"/>
                <w:u w:val="none"/>
              </w:rPr>
            </w:pPr>
            <w:r>
              <w:rPr>
                <w:rStyle w:val="7"/>
                <w:rFonts w:hint="eastAsia" w:ascii="宋体" w:hAnsi="宋体" w:cs="宋体"/>
                <w:color w:val="000000"/>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b/>
                <w:bCs/>
                <w:color w:val="000000"/>
                <w:sz w:val="18"/>
                <w:u w:val="none"/>
              </w:rPr>
            </w:pPr>
            <m:oMathPara>
              <m:oMath>
                <m:f>
                  <m:fPr>
                    <m:ctrlPr>
                      <w:rPr>
                        <w:rFonts w:ascii="Cambria Math" w:hAnsi="Cambria Math" w:cs="宋体"/>
                        <w:color w:val="000000"/>
                        <w:sz w:val="18"/>
                        <w:szCs w:val="21"/>
                      </w:rPr>
                    </m:ctrlPr>
                  </m:fPr>
                  <m:num>
                    <m:r>
                      <m:rPr>
                        <m:sty m:val="p"/>
                      </m:rPr>
                      <w:rPr>
                        <w:rFonts w:hint="eastAsia" w:ascii="Cambria Math" w:hAnsi="Cambria Math" w:cs="宋体"/>
                        <w:color w:val="000000"/>
                        <w:szCs w:val="21"/>
                      </w:rPr>
                      <m:t>入住人数</m:t>
                    </m:r>
                    <m:ctrlPr>
                      <w:rPr>
                        <w:rFonts w:ascii="Cambria Math" w:hAnsi="Cambria Math" w:cs="宋体"/>
                        <w:color w:val="000000"/>
                        <w:szCs w:val="21"/>
                      </w:rPr>
                    </m:ctrlPr>
                  </m:num>
                  <m:den>
                    <m:r>
                      <m:rPr>
                        <m:sty m:val="p"/>
                      </m:rPr>
                      <w:rPr>
                        <w:rFonts w:hint="eastAsia" w:ascii="Cambria Math" w:hAnsi="Cambria Math" w:cs="宋体"/>
                        <w:color w:val="000000"/>
                        <w:szCs w:val="21"/>
                      </w:rPr>
                      <m:t>床位总数</m:t>
                    </m:r>
                    <m:ctrlPr>
                      <w:rPr>
                        <w:rFonts w:ascii="Cambria Math" w:hAnsi="Cambria Math" w:cs="宋体"/>
                        <w:color w:val="000000"/>
                        <w:szCs w:val="21"/>
                      </w:rPr>
                    </m:ctrlPr>
                  </m:den>
                </m:f>
                <m:r>
                  <m:rPr>
                    <m:sty m:val="p"/>
                  </m:rPr>
                  <w:rPr>
                    <w:rFonts w:ascii="Cambria Math" w:hAnsi="Cambria Math" w:cs="宋体"/>
                    <w:color w:val="000000"/>
                    <w:szCs w:val="21"/>
                  </w:rPr>
                  <m:t>X100%</m:t>
                </m:r>
              </m:oMath>
            </m:oMathPara>
          </w:p>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ascii="宋体" w:hAnsi="宋体" w:cs="宋体"/>
                <w:color w:val="000000"/>
                <w:sz w:val="18"/>
                <w:szCs w:val="21"/>
              </w:rPr>
              <w:t>5</w:t>
            </w:r>
            <w:r>
              <w:rPr>
                <w:rFonts w:hint="eastAsia" w:ascii="宋体" w:hAnsi="宋体" w:cs="宋体"/>
                <w:color w:val="000000"/>
                <w:sz w:val="18"/>
                <w:szCs w:val="21"/>
              </w:rPr>
              <w:t>0</w:t>
            </w:r>
            <w:r>
              <w:rPr>
                <w:rFonts w:ascii="宋体" w:hAnsi="宋体" w:cs="宋体"/>
                <w:color w:val="000000"/>
                <w:sz w:val="18"/>
                <w:szCs w:val="21"/>
              </w:rPr>
              <w:t>%</w:t>
            </w:r>
            <w:r>
              <w:rPr>
                <w:rFonts w:hint="eastAsia" w:ascii="宋体" w:hAnsi="宋体" w:cs="宋体"/>
                <w:color w:val="000000"/>
                <w:sz w:val="18"/>
                <w:szCs w:val="21"/>
              </w:rPr>
              <w:t>（不含）以下</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1</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50%-65</w:t>
            </w:r>
            <w:r>
              <w:rPr>
                <w:rFonts w:ascii="宋体" w:hAnsi="宋体" w:cs="宋体"/>
                <w:color w:val="000000"/>
                <w:sz w:val="18"/>
                <w:szCs w:val="21"/>
              </w:rPr>
              <w:t>%</w:t>
            </w:r>
            <w:r>
              <w:rPr>
                <w:rFonts w:hint="eastAsia" w:ascii="宋体" w:hAnsi="宋体" w:cs="宋体"/>
                <w:color w:val="000000"/>
                <w:sz w:val="18"/>
                <w:szCs w:val="21"/>
              </w:rPr>
              <w:t>(含)</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65%-</w:t>
            </w:r>
            <w:r>
              <w:rPr>
                <w:rFonts w:ascii="宋体" w:hAnsi="宋体" w:cs="宋体"/>
                <w:color w:val="000000"/>
                <w:sz w:val="18"/>
                <w:szCs w:val="21"/>
              </w:rPr>
              <w:t>8</w:t>
            </w:r>
            <w:r>
              <w:rPr>
                <w:rFonts w:hint="eastAsia" w:ascii="宋体" w:hAnsi="宋体" w:cs="宋体"/>
                <w:color w:val="000000"/>
                <w:sz w:val="18"/>
                <w:szCs w:val="21"/>
              </w:rPr>
              <w:t>0</w:t>
            </w:r>
            <w:r>
              <w:rPr>
                <w:rFonts w:ascii="宋体" w:hAnsi="宋体" w:cs="宋体"/>
                <w:color w:val="000000"/>
                <w:sz w:val="18"/>
                <w:szCs w:val="21"/>
              </w:rPr>
              <w:t>%</w:t>
            </w:r>
            <w:r>
              <w:rPr>
                <w:rFonts w:hint="eastAsia" w:ascii="宋体" w:hAnsi="宋体" w:cs="宋体"/>
                <w:color w:val="000000"/>
                <w:sz w:val="18"/>
                <w:szCs w:val="21"/>
              </w:rPr>
              <w:t>或以上</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3</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right w:val="single" w:color="auto" w:sz="4" w:space="0"/>
            </w:tcBorders>
            <w:noWrap/>
            <w:vAlign w:val="top"/>
          </w:tcPr>
          <w:p>
            <w:pPr>
              <w:jc w:val="left"/>
              <w:rPr>
                <w:rFonts w:ascii="宋体" w:hAnsi="宋体" w:cs="宋体"/>
                <w:color w:val="000000"/>
                <w:sz w:val="18"/>
                <w:szCs w:val="21"/>
              </w:rPr>
            </w:pPr>
            <w:r>
              <w:rPr>
                <w:rFonts w:ascii="宋体" w:hAnsi="宋体" w:cs="宋体"/>
                <w:color w:val="000000"/>
                <w:sz w:val="18"/>
                <w:szCs w:val="21"/>
              </w:rPr>
              <w:t>3.2</w:t>
            </w:r>
            <w:r>
              <w:rPr>
                <w:rFonts w:hint="eastAsia" w:ascii="宋体" w:hAnsi="宋体" w:cs="宋体"/>
                <w:color w:val="000000"/>
                <w:sz w:val="18"/>
                <w:szCs w:val="21"/>
              </w:rPr>
              <w:t>重度失能老人入住比例</w:t>
            </w:r>
          </w:p>
          <w:p>
            <w:pPr>
              <w:jc w:val="left"/>
              <w:rPr>
                <w:rFonts w:ascii="宋体" w:hAnsi="宋体" w:cs="宋体"/>
                <w:color w:val="000000"/>
                <w:sz w:val="18"/>
                <w:szCs w:val="21"/>
              </w:rPr>
            </w:pPr>
            <w:r>
              <w:rPr>
                <w:rFonts w:hint="eastAsia" w:ascii="宋体" w:hAnsi="宋体" w:cs="宋体"/>
                <w:color w:val="000000"/>
                <w:sz w:val="18"/>
                <w:szCs w:val="21"/>
              </w:rPr>
              <w:t>3</w:t>
            </w:r>
            <w:r>
              <w:rPr>
                <w:rFonts w:ascii="宋体" w:hAnsi="宋体" w:cs="宋体"/>
                <w:color w:val="000000"/>
                <w:sz w:val="18"/>
                <w:szCs w:val="21"/>
              </w:rPr>
              <w:t>0</w:t>
            </w:r>
            <w:r>
              <w:rPr>
                <w:rFonts w:hint="eastAsia" w:ascii="宋体" w:hAnsi="宋体" w:cs="宋体"/>
                <w:color w:val="000000"/>
                <w:sz w:val="18"/>
                <w:szCs w:val="21"/>
              </w:rPr>
              <w:t>分</w:t>
            </w: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Style w:val="7"/>
                <w:rFonts w:hint="eastAsia" w:ascii="宋体" w:hAnsi="宋体" w:cs="宋体"/>
                <w:color w:val="000000"/>
                <w:sz w:val="18"/>
                <w:u w:val="none"/>
              </w:rPr>
              <w:t>无相应数据或数据失实</w:t>
            </w:r>
          </w:p>
        </w:tc>
        <w:tc>
          <w:tcPr>
            <w:tcW w:w="3260" w:type="dxa"/>
            <w:vMerge w:val="restart"/>
            <w:tcBorders>
              <w:top w:val="single" w:color="auto" w:sz="4" w:space="0"/>
              <w:left w:val="single" w:color="auto" w:sz="4" w:space="0"/>
              <w:right w:val="single" w:color="auto" w:sz="4" w:space="0"/>
            </w:tcBorders>
            <w:noWrap/>
            <w:vAlign w:val="top"/>
          </w:tcPr>
          <w:p>
            <w:pPr>
              <w:jc w:val="left"/>
              <w:rPr>
                <w:rFonts w:ascii="宋体" w:hAnsi="宋体" w:cs="宋体"/>
                <w:color w:val="000000"/>
                <w:sz w:val="18"/>
                <w:szCs w:val="21"/>
              </w:rPr>
            </w:pPr>
            <w:r>
              <w:rPr>
                <w:rFonts w:hint="eastAsia" w:ascii="Cambria Math" w:hAnsi="Cambria Math" w:cs="宋体"/>
                <w:color w:val="000000"/>
                <w:position w:val="-26"/>
                <w:sz w:val="18"/>
                <w:szCs w:val="21"/>
              </w:rPr>
              <w:object>
                <v:shape id="_x0000_i1026" o:spt="75" type="#_x0000_t75" style="height:47.5pt;width:150.2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5" r:id="rId7">
                  <o:LockedField>false</o:LockedField>
                </o:OLEObject>
              </w:object>
            </w: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ascii="宋体" w:hAnsi="宋体" w:cs="宋体"/>
                <w:color w:val="000000"/>
                <w:sz w:val="18"/>
                <w:szCs w:val="21"/>
              </w:rPr>
              <w:t>&lt;20%</w:t>
            </w:r>
          </w:p>
        </w:tc>
        <w:tc>
          <w:tcPr>
            <w:tcW w:w="3260" w:type="dxa"/>
            <w:vMerge w:val="continue"/>
            <w:tcBorders>
              <w:left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1</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20%</w:t>
            </w:r>
          </w:p>
        </w:tc>
        <w:tc>
          <w:tcPr>
            <w:tcW w:w="3260" w:type="dxa"/>
            <w:vMerge w:val="continue"/>
            <w:tcBorders>
              <w:left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951" w:type="dxa"/>
            <w:vMerge w:val="continue"/>
            <w:tcBorders>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30%</w:t>
            </w:r>
          </w:p>
        </w:tc>
        <w:tc>
          <w:tcPr>
            <w:tcW w:w="3260" w:type="dxa"/>
            <w:vMerge w:val="continue"/>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3</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r>
              <w:rPr>
                <w:rFonts w:ascii="宋体" w:hAnsi="宋体" w:cs="宋体"/>
                <w:color w:val="000000"/>
                <w:sz w:val="18"/>
                <w:szCs w:val="21"/>
              </w:rPr>
              <w:t>3.3</w:t>
            </w:r>
            <w:r>
              <w:rPr>
                <w:rStyle w:val="7"/>
                <w:rFonts w:hint="eastAsia" w:ascii="宋体" w:hAnsi="宋体" w:cs="宋体"/>
                <w:color w:val="000000"/>
                <w:sz w:val="18"/>
                <w:u w:val="none"/>
              </w:rPr>
              <w:t>跌倒率2</w:t>
            </w:r>
            <w:r>
              <w:rPr>
                <w:rStyle w:val="7"/>
                <w:rFonts w:ascii="宋体" w:hAnsi="宋体" w:cs="宋体"/>
                <w:color w:val="000000"/>
                <w:sz w:val="18"/>
                <w:u w:val="none"/>
              </w:rPr>
              <w:t>0分</w:t>
            </w: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Style w:val="7"/>
                <w:rFonts w:hint="eastAsia" w:ascii="宋体" w:hAnsi="宋体" w:cs="宋体"/>
                <w:color w:val="000000"/>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最近</w:t>
            </w:r>
            <w:r>
              <w:rPr>
                <w:rFonts w:ascii="宋体" w:hAnsi="宋体" w:cs="宋体"/>
                <w:color w:val="000000"/>
                <w:sz w:val="18"/>
                <w:szCs w:val="21"/>
              </w:rPr>
              <w:t>30天内老年人跌倒的比率</w:t>
            </w:r>
          </w:p>
          <w:p>
            <w:pPr>
              <w:rPr>
                <w:rFonts w:ascii="宋体" w:hAnsi="宋体" w:cs="宋体"/>
                <w:color w:val="000000"/>
                <w:sz w:val="18"/>
                <w:szCs w:val="21"/>
              </w:rPr>
            </w:pPr>
            <m:oMathPara>
              <m:oMath>
                <m:f>
                  <m:fPr>
                    <m:ctrlPr>
                      <w:rPr>
                        <w:rFonts w:ascii="Cambria Math" w:hAnsi="Cambria Math" w:cs="宋体"/>
                        <w:color w:val="000000"/>
                        <w:sz w:val="18"/>
                        <w:szCs w:val="21"/>
                      </w:rPr>
                    </m:ctrlPr>
                  </m:fPr>
                  <m:num>
                    <m:r>
                      <m:rPr>
                        <m:sty m:val="p"/>
                      </m:rPr>
                      <w:rPr>
                        <w:rFonts w:hint="eastAsia" w:ascii="Cambria Math" w:hAnsi="Cambria Math" w:cs="宋体"/>
                        <w:color w:val="000000"/>
                        <w:szCs w:val="21"/>
                      </w:rPr>
                      <m:t>跌倒人次</m:t>
                    </m:r>
                    <m:ctrlPr>
                      <w:rPr>
                        <w:rFonts w:ascii="Cambria Math" w:hAnsi="Cambria Math" w:cs="宋体"/>
                        <w:color w:val="000000"/>
                        <w:szCs w:val="21"/>
                      </w:rPr>
                    </m:ctrlPr>
                  </m:num>
                  <m:den>
                    <m:r>
                      <m:rPr>
                        <m:sty m:val="p"/>
                      </m:rPr>
                      <w:rPr>
                        <w:rFonts w:hint="eastAsia" w:ascii="Cambria Math" w:hAnsi="Cambria Math" w:cs="宋体"/>
                        <w:color w:val="000000"/>
                        <w:szCs w:val="21"/>
                      </w:rPr>
                      <m:t>入住老年人总数</m:t>
                    </m:r>
                    <m:ctrlPr>
                      <w:rPr>
                        <w:rFonts w:ascii="Cambria Math" w:hAnsi="Cambria Math" w:cs="宋体"/>
                        <w:color w:val="000000"/>
                        <w:szCs w:val="21"/>
                      </w:rPr>
                    </m:ctrlPr>
                  </m:den>
                </m:f>
                <m:r>
                  <m:rPr>
                    <m:sty m:val="p"/>
                  </m:rPr>
                  <w:rPr>
                    <w:rFonts w:ascii="Cambria Math" w:hAnsi="Cambria Math" w:cs="宋体"/>
                    <w:color w:val="000000"/>
                    <w:szCs w:val="21"/>
                  </w:rPr>
                  <m:t>X100%</m:t>
                </m:r>
              </m:oMath>
            </m:oMathPara>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ascii="宋体" w:hAnsi="宋体" w:cs="宋体"/>
                <w:color w:val="000000"/>
                <w:sz w:val="18"/>
                <w:szCs w:val="21"/>
              </w:rPr>
              <w:t>&gt;10%</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10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10%</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15</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5%</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r>
              <w:rPr>
                <w:rFonts w:ascii="宋体" w:hAnsi="宋体" w:cs="宋体"/>
                <w:color w:val="000000"/>
                <w:sz w:val="18"/>
                <w:szCs w:val="21"/>
              </w:rPr>
              <w:t>3.4</w:t>
            </w:r>
          </w:p>
          <w:p>
            <w:pPr>
              <w:ind w:right="-160" w:rightChars="-76"/>
              <w:jc w:val="left"/>
              <w:rPr>
                <w:rFonts w:ascii="宋体" w:hAnsi="宋体" w:cs="宋体"/>
                <w:color w:val="000000"/>
                <w:sz w:val="18"/>
                <w:szCs w:val="21"/>
              </w:rPr>
            </w:pPr>
            <w:r>
              <w:rPr>
                <w:rFonts w:hint="eastAsia" w:ascii="宋体" w:hAnsi="宋体" w:cs="宋体"/>
                <w:color w:val="000000"/>
                <w:sz w:val="18"/>
                <w:szCs w:val="21"/>
              </w:rPr>
              <w:t>限制性防护使用率</w:t>
            </w:r>
          </w:p>
          <w:p>
            <w:pPr>
              <w:jc w:val="left"/>
              <w:rPr>
                <w:rFonts w:ascii="宋体" w:hAnsi="宋体" w:cs="宋体"/>
                <w:color w:val="000000"/>
                <w:sz w:val="18"/>
                <w:szCs w:val="21"/>
              </w:rPr>
            </w:pPr>
            <w:r>
              <w:rPr>
                <w:rFonts w:hint="eastAsia" w:ascii="宋体" w:hAnsi="宋体" w:cs="宋体"/>
                <w:color w:val="000000"/>
                <w:sz w:val="18"/>
                <w:szCs w:val="21"/>
              </w:rPr>
              <w:t>2</w:t>
            </w:r>
            <w:r>
              <w:rPr>
                <w:rFonts w:ascii="宋体" w:hAnsi="宋体" w:cs="宋体"/>
                <w:color w:val="000000"/>
                <w:sz w:val="18"/>
                <w:szCs w:val="21"/>
              </w:rPr>
              <w:t>0分</w:t>
            </w:r>
          </w:p>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Style w:val="7"/>
                <w:rFonts w:hint="eastAsia" w:ascii="宋体" w:hAnsi="宋体" w:cs="宋体"/>
                <w:color w:val="000000"/>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r>
              <w:rPr>
                <w:rStyle w:val="7"/>
                <w:rFonts w:hint="eastAsia" w:ascii="宋体" w:hAnsi="宋体" w:cs="宋体"/>
                <w:color w:val="000000"/>
                <w:sz w:val="18"/>
                <w:u w:val="none"/>
              </w:rPr>
              <w:t>最近七天内以固定躯干、四肢方式限制老年人日常行动的比率</w:t>
            </w:r>
          </w:p>
          <w:p>
            <w:pPr>
              <w:jc w:val="left"/>
              <w:rPr>
                <w:rStyle w:val="7"/>
                <w:rFonts w:ascii="宋体" w:hAnsi="宋体" w:cs="宋体"/>
                <w:color w:val="000000"/>
                <w:sz w:val="18"/>
                <w:u w:val="none"/>
              </w:rPr>
            </w:pPr>
            <m:oMathPara>
              <m:oMath>
                <m:f>
                  <m:fPr>
                    <m:ctrlPr>
                      <w:rPr>
                        <w:rFonts w:ascii="Cambria Math" w:hAnsi="Cambria Math" w:cs="宋体"/>
                        <w:color w:val="000000"/>
                        <w:sz w:val="18"/>
                        <w:szCs w:val="21"/>
                      </w:rPr>
                    </m:ctrlPr>
                  </m:fPr>
                  <m:num>
                    <m:r>
                      <m:rPr>
                        <m:sty m:val="p"/>
                      </m:rPr>
                      <w:rPr>
                        <w:rFonts w:hint="eastAsia" w:ascii="Cambria Math" w:hAnsi="Cambria Math" w:cs="宋体"/>
                        <w:color w:val="000000"/>
                        <w:szCs w:val="21"/>
                      </w:rPr>
                      <m:t>限制性防护使用人数</m:t>
                    </m:r>
                    <m:ctrlPr>
                      <w:rPr>
                        <w:rFonts w:ascii="Cambria Math" w:hAnsi="Cambria Math" w:cs="宋体"/>
                        <w:color w:val="000000"/>
                        <w:szCs w:val="21"/>
                      </w:rPr>
                    </m:ctrlPr>
                  </m:num>
                  <m:den>
                    <m:r>
                      <m:rPr>
                        <m:sty m:val="p"/>
                      </m:rPr>
                      <w:rPr>
                        <w:rFonts w:hint="eastAsia" w:ascii="Cambria Math" w:hAnsi="Cambria Math" w:cs="宋体"/>
                        <w:color w:val="000000"/>
                        <w:szCs w:val="21"/>
                      </w:rPr>
                      <m:t>入住老年人总数</m:t>
                    </m:r>
                    <m:ctrlPr>
                      <w:rPr>
                        <w:rFonts w:ascii="Cambria Math" w:hAnsi="Cambria Math" w:cs="宋体"/>
                        <w:color w:val="000000"/>
                        <w:szCs w:val="21"/>
                      </w:rPr>
                    </m:ctrlPr>
                  </m:den>
                </m:f>
                <m:r>
                  <m:rPr>
                    <m:sty m:val="p"/>
                  </m:rPr>
                  <w:rPr>
                    <w:rFonts w:ascii="Cambria Math" w:hAnsi="Cambria Math" w:cs="宋体"/>
                    <w:color w:val="000000"/>
                    <w:szCs w:val="21"/>
                  </w:rPr>
                  <m:t>X100%</m:t>
                </m:r>
              </m:oMath>
            </m:oMathPara>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ascii="宋体" w:hAnsi="宋体" w:cs="宋体"/>
                <w:color w:val="000000"/>
                <w:sz w:val="18"/>
                <w:szCs w:val="21"/>
              </w:rPr>
              <w:t>&gt;10%</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10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10%</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15</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5%</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51" w:type="dxa"/>
            <w:vMerge w:val="restart"/>
            <w:tcBorders>
              <w:top w:val="single" w:color="auto" w:sz="4" w:space="0"/>
              <w:left w:val="single" w:color="auto" w:sz="4" w:space="0"/>
              <w:right w:val="single" w:color="auto" w:sz="4" w:space="0"/>
            </w:tcBorders>
            <w:noWrap/>
            <w:vAlign w:val="top"/>
          </w:tcPr>
          <w:p>
            <w:pPr>
              <w:jc w:val="left"/>
              <w:rPr>
                <w:rFonts w:ascii="宋体" w:hAnsi="宋体" w:cs="宋体"/>
                <w:color w:val="000000"/>
                <w:sz w:val="18"/>
                <w:szCs w:val="21"/>
              </w:rPr>
            </w:pPr>
            <w:r>
              <w:rPr>
                <w:rFonts w:ascii="宋体" w:hAnsi="宋体" w:cs="宋体"/>
                <w:color w:val="000000"/>
                <w:sz w:val="18"/>
                <w:szCs w:val="21"/>
              </w:rPr>
              <w:t>3.5</w:t>
            </w:r>
            <w:r>
              <w:rPr>
                <w:rFonts w:hint="eastAsia" w:ascii="宋体" w:hAnsi="宋体" w:cs="宋体"/>
                <w:color w:val="000000"/>
                <w:sz w:val="18"/>
                <w:szCs w:val="21"/>
              </w:rPr>
              <w:t>压疮率2</w:t>
            </w:r>
            <w:r>
              <w:rPr>
                <w:rFonts w:ascii="宋体" w:hAnsi="宋体" w:cs="宋体"/>
                <w:color w:val="000000"/>
                <w:sz w:val="18"/>
                <w:szCs w:val="21"/>
              </w:rPr>
              <w:t>0分</w:t>
            </w: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Style w:val="7"/>
                <w:rFonts w:hint="eastAsia" w:ascii="宋体" w:hAnsi="宋体" w:cs="宋体"/>
                <w:color w:val="000000"/>
                <w:sz w:val="18"/>
                <w:u w:val="none"/>
              </w:rPr>
              <w:t>无相应数据或数据失实</w:t>
            </w:r>
          </w:p>
        </w:tc>
        <w:tc>
          <w:tcPr>
            <w:tcW w:w="3260" w:type="dxa"/>
            <w:vMerge w:val="restart"/>
            <w:tcBorders>
              <w:top w:val="single" w:color="auto" w:sz="4" w:space="0"/>
              <w:left w:val="single" w:color="auto" w:sz="4" w:space="0"/>
              <w:right w:val="single" w:color="auto" w:sz="4" w:space="0"/>
            </w:tcBorders>
            <w:noWrap/>
            <w:vAlign w:val="top"/>
          </w:tcPr>
          <w:p>
            <w:pPr>
              <w:rPr>
                <w:rFonts w:ascii="宋体" w:hAnsi="宋体" w:cs="宋体"/>
                <w:bCs/>
                <w:color w:val="000000"/>
                <w:sz w:val="18"/>
                <w:szCs w:val="21"/>
              </w:rPr>
            </w:pPr>
            <w:r>
              <w:rPr>
                <w:rStyle w:val="7"/>
                <w:rFonts w:hint="eastAsia" w:ascii="宋体" w:hAnsi="宋体" w:cs="宋体"/>
                <w:color w:val="000000"/>
                <w:sz w:val="18"/>
                <w:u w:val="none"/>
              </w:rPr>
              <w:t>（排除低蛋白血症、高度</w:t>
            </w:r>
          </w:p>
          <w:p>
            <w:pPr>
              <w:rPr>
                <w:rFonts w:ascii="宋体" w:hAnsi="宋体" w:cs="宋体"/>
                <w:bCs/>
                <w:color w:val="000000"/>
                <w:sz w:val="18"/>
                <w:szCs w:val="21"/>
              </w:rPr>
            </w:pPr>
            <w:r>
              <w:rPr>
                <w:rStyle w:val="7"/>
                <w:rFonts w:hint="eastAsia" w:ascii="宋体" w:hAnsi="宋体" w:cs="宋体"/>
                <w:color w:val="000000"/>
                <w:sz w:val="18"/>
                <w:u w:val="none"/>
              </w:rPr>
              <w:t>水肿、癌症晚期、恶液质老人）。</w:t>
            </w: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bCs/>
                <w:color w:val="000000"/>
                <w:sz w:val="18"/>
                <w:szCs w:val="21"/>
              </w:rPr>
              <w:t>最近</w:t>
            </w:r>
            <w:r>
              <w:rPr>
                <w:rFonts w:ascii="宋体" w:hAnsi="宋体" w:cs="宋体"/>
                <w:bCs/>
                <w:color w:val="000000"/>
                <w:sz w:val="18"/>
                <w:szCs w:val="21"/>
              </w:rPr>
              <w:t>30天是Ⅰ</w:t>
            </w:r>
            <w:r>
              <w:rPr>
                <w:rFonts w:ascii="宋体" w:hAnsi="宋体" w:cs="宋体"/>
                <w:bCs/>
                <w:color w:val="000000"/>
                <w:sz w:val="18"/>
                <w:szCs w:val="21"/>
                <w:vertAlign w:val="superscript"/>
              </w:rPr>
              <w:t>0</w:t>
            </w:r>
            <w:r>
              <w:rPr>
                <w:rFonts w:hint="eastAsia" w:ascii="宋体" w:hAnsi="宋体" w:cs="宋体"/>
                <w:bCs/>
                <w:color w:val="000000"/>
                <w:sz w:val="18"/>
                <w:szCs w:val="21"/>
              </w:rPr>
              <w:t>压疮发生率≤</w:t>
            </w:r>
            <w:r>
              <w:rPr>
                <w:rFonts w:ascii="宋体" w:hAnsi="宋体" w:cs="宋体"/>
                <w:bCs/>
                <w:color w:val="000000"/>
                <w:sz w:val="18"/>
                <w:szCs w:val="21"/>
              </w:rPr>
              <w:t>5‰，Ⅱ</w:t>
            </w:r>
            <w:r>
              <w:rPr>
                <w:rFonts w:ascii="宋体" w:hAnsi="宋体" w:cs="宋体"/>
                <w:bCs/>
                <w:color w:val="000000"/>
                <w:sz w:val="18"/>
                <w:szCs w:val="21"/>
                <w:vertAlign w:val="superscript"/>
              </w:rPr>
              <w:t>0</w:t>
            </w:r>
            <w:r>
              <w:rPr>
                <w:rFonts w:hint="eastAsia" w:ascii="宋体" w:hAnsi="宋体" w:cs="宋体"/>
                <w:bCs/>
                <w:color w:val="000000"/>
                <w:sz w:val="18"/>
                <w:szCs w:val="21"/>
              </w:rPr>
              <w:t>压疮发生率为</w:t>
            </w:r>
            <w:r>
              <w:rPr>
                <w:rFonts w:ascii="宋体" w:hAnsi="宋体" w:cs="宋体"/>
                <w:bCs/>
                <w:color w:val="000000"/>
                <w:sz w:val="18"/>
                <w:szCs w:val="21"/>
              </w:rPr>
              <w:t>0</w:t>
            </w:r>
          </w:p>
        </w:tc>
        <w:tc>
          <w:tcPr>
            <w:tcW w:w="3260" w:type="dxa"/>
            <w:vMerge w:val="continue"/>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right w:val="single" w:color="auto" w:sz="4" w:space="0"/>
            </w:tcBorders>
            <w:noWrap/>
            <w:vAlign w:val="top"/>
          </w:tcPr>
          <w:p>
            <w:pPr>
              <w:jc w:val="left"/>
              <w:rPr>
                <w:rFonts w:ascii="宋体" w:hAnsi="宋体" w:cs="宋体"/>
                <w:color w:val="000000"/>
                <w:sz w:val="18"/>
                <w:szCs w:val="21"/>
              </w:rPr>
            </w:pPr>
            <w:r>
              <w:rPr>
                <w:rFonts w:ascii="宋体" w:hAnsi="宋体" w:cs="宋体"/>
                <w:color w:val="000000"/>
                <w:sz w:val="18"/>
                <w:szCs w:val="21"/>
              </w:rPr>
              <w:t>3.6机构</w:t>
            </w:r>
            <w:r>
              <w:rPr>
                <w:rFonts w:hint="eastAsia" w:ascii="宋体" w:hAnsi="宋体" w:cs="宋体"/>
                <w:color w:val="000000"/>
                <w:sz w:val="18"/>
                <w:szCs w:val="21"/>
              </w:rPr>
              <w:t>上年综合责任保险赔付率</w:t>
            </w:r>
          </w:p>
          <w:p>
            <w:pPr>
              <w:jc w:val="left"/>
              <w:rPr>
                <w:rFonts w:ascii="宋体" w:hAnsi="宋体" w:cs="宋体"/>
                <w:color w:val="000000"/>
                <w:sz w:val="18"/>
                <w:szCs w:val="21"/>
              </w:rPr>
            </w:pPr>
            <w:r>
              <w:rPr>
                <w:rFonts w:hint="eastAsia" w:ascii="宋体" w:hAnsi="宋体" w:cs="宋体"/>
                <w:color w:val="000000"/>
                <w:sz w:val="18"/>
                <w:szCs w:val="21"/>
              </w:rPr>
              <w:t>2</w:t>
            </w:r>
            <w:r>
              <w:rPr>
                <w:rFonts w:ascii="宋体" w:hAnsi="宋体" w:cs="宋体"/>
                <w:color w:val="000000"/>
                <w:sz w:val="18"/>
                <w:szCs w:val="21"/>
              </w:rPr>
              <w:t>0</w:t>
            </w:r>
            <w:r>
              <w:rPr>
                <w:rFonts w:hint="eastAsia" w:ascii="宋体" w:hAnsi="宋体" w:cs="宋体"/>
                <w:color w:val="000000"/>
                <w:sz w:val="18"/>
                <w:szCs w:val="21"/>
              </w:rPr>
              <w:t>分</w:t>
            </w:r>
          </w:p>
        </w:tc>
        <w:tc>
          <w:tcPr>
            <w:tcW w:w="2835" w:type="dxa"/>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无参加机构综合责任保险</w:t>
            </w:r>
          </w:p>
        </w:tc>
        <w:tc>
          <w:tcPr>
            <w:tcW w:w="3260" w:type="dxa"/>
            <w:vMerge w:val="restart"/>
            <w:tcBorders>
              <w:left w:val="single" w:color="auto" w:sz="4" w:space="0"/>
              <w:right w:val="single" w:color="auto" w:sz="4" w:space="0"/>
            </w:tcBorders>
            <w:noWrap/>
            <w:vAlign w:val="top"/>
          </w:tcPr>
          <w:p>
            <w:pPr>
              <w:rPr>
                <w:rFonts w:ascii="宋体" w:hAnsi="宋体" w:cs="宋体"/>
                <w:color w:val="000000"/>
                <w:sz w:val="18"/>
                <w:szCs w:val="21"/>
              </w:rPr>
            </w:pPr>
            <w:r>
              <w:rPr>
                <w:rFonts w:ascii="宋体" w:hAnsi="宋体" w:cs="宋体"/>
                <w:color w:val="000000"/>
                <w:sz w:val="18"/>
                <w:szCs w:val="21"/>
              </w:rPr>
              <w:drawing>
                <wp:inline distT="0" distB="0" distL="114300" distR="114300">
                  <wp:extent cx="1733550" cy="657225"/>
                  <wp:effectExtent l="0" t="0" r="0" b="9525"/>
                  <wp:docPr id="1" name="图片 5" descr="C:\Users\王立军\AppData\Local\Temp\15219753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Users\王立军\AppData\Local\Temp\1521975339(1).png"/>
                          <pic:cNvPicPr>
                            <a:picLocks noChangeAspect="1"/>
                          </pic:cNvPicPr>
                        </pic:nvPicPr>
                        <pic:blipFill>
                          <a:blip r:embed="rId9"/>
                          <a:stretch>
                            <a:fillRect/>
                          </a:stretch>
                        </pic:blipFill>
                        <pic:spPr>
                          <a:xfrm>
                            <a:off x="0" y="0"/>
                            <a:ext cx="1733550" cy="657225"/>
                          </a:xfrm>
                          <a:prstGeom prst="rect">
                            <a:avLst/>
                          </a:prstGeom>
                          <a:noFill/>
                          <a:ln>
                            <a:noFill/>
                          </a:ln>
                        </pic:spPr>
                      </pic:pic>
                    </a:graphicData>
                  </a:graphic>
                </wp:inline>
              </w:drawing>
            </w: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200%</w:t>
            </w:r>
          </w:p>
        </w:tc>
        <w:tc>
          <w:tcPr>
            <w:tcW w:w="3260" w:type="dxa"/>
            <w:vMerge w:val="continue"/>
            <w:tcBorders>
              <w:left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10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120%</w:t>
            </w:r>
          </w:p>
        </w:tc>
        <w:tc>
          <w:tcPr>
            <w:tcW w:w="3260" w:type="dxa"/>
            <w:vMerge w:val="continue"/>
            <w:tcBorders>
              <w:left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15</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951" w:type="dxa"/>
            <w:vMerge w:val="continue"/>
            <w:tcBorders>
              <w:left w:val="single" w:color="auto" w:sz="4" w:space="0"/>
              <w:bottom w:val="single" w:color="auto" w:sz="4" w:space="0"/>
              <w:right w:val="single" w:color="auto" w:sz="4" w:space="0"/>
            </w:tcBorders>
            <w:noWrap/>
            <w:vAlign w:val="top"/>
          </w:tcPr>
          <w:p>
            <w:pPr>
              <w:jc w:val="left"/>
              <w:rPr>
                <w:rFonts w:ascii="宋体" w:hAnsi="宋体" w:cs="宋体"/>
                <w:color w:val="000000"/>
                <w:sz w:val="18"/>
                <w:szCs w:val="21"/>
              </w:rPr>
            </w:pPr>
          </w:p>
        </w:tc>
        <w:tc>
          <w:tcPr>
            <w:tcW w:w="2835" w:type="dxa"/>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为</w:t>
            </w:r>
            <w:r>
              <w:rPr>
                <w:rFonts w:ascii="宋体" w:hAnsi="宋体" w:cs="宋体"/>
                <w:color w:val="000000"/>
                <w:sz w:val="18"/>
                <w:szCs w:val="21"/>
              </w:rPr>
              <w:t>0%</w:t>
            </w:r>
          </w:p>
        </w:tc>
        <w:tc>
          <w:tcPr>
            <w:tcW w:w="3260" w:type="dxa"/>
            <w:vMerge w:val="continue"/>
            <w:tcBorders>
              <w:left w:val="single" w:color="auto" w:sz="4" w:space="0"/>
              <w:bottom w:val="single" w:color="auto" w:sz="4" w:space="0"/>
              <w:right w:val="single" w:color="auto" w:sz="4" w:space="0"/>
            </w:tcBorders>
            <w:noWrap/>
            <w:vAlign w:val="top"/>
          </w:tcPr>
          <w:p>
            <w:pPr>
              <w:rPr>
                <w:rFonts w:ascii="宋体" w:hAnsi="宋体" w:cs="宋体"/>
                <w:color w:val="000000"/>
                <w:sz w:val="18"/>
                <w:szCs w:val="21"/>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r>
              <w:rPr>
                <w:rStyle w:val="7"/>
                <w:rFonts w:ascii="宋体" w:hAnsi="宋体" w:cs="宋体"/>
                <w:color w:val="000000"/>
                <w:sz w:val="18"/>
                <w:u w:val="none"/>
              </w:rPr>
              <w:t>3.7</w:t>
            </w:r>
            <w:r>
              <w:rPr>
                <w:rStyle w:val="7"/>
                <w:rFonts w:hint="eastAsia" w:ascii="宋体" w:hAnsi="宋体" w:cs="宋体"/>
                <w:color w:val="000000"/>
                <w:sz w:val="18"/>
                <w:u w:val="none"/>
              </w:rPr>
              <w:t>顾客满意度</w:t>
            </w:r>
          </w:p>
          <w:p>
            <w:pPr>
              <w:jc w:val="left"/>
              <w:rPr>
                <w:rStyle w:val="7"/>
                <w:rFonts w:ascii="宋体" w:hAnsi="宋体" w:cs="宋体"/>
                <w:color w:val="000000"/>
                <w:sz w:val="18"/>
                <w:u w:val="none"/>
              </w:rPr>
            </w:pPr>
            <w:r>
              <w:rPr>
                <w:rStyle w:val="7"/>
                <w:rFonts w:hint="eastAsia" w:ascii="宋体" w:hAnsi="宋体" w:cs="宋体"/>
                <w:color w:val="000000"/>
                <w:sz w:val="18"/>
                <w:u w:val="none"/>
              </w:rPr>
              <w:t>3</w:t>
            </w:r>
            <w:r>
              <w:rPr>
                <w:rStyle w:val="7"/>
                <w:rFonts w:ascii="宋体" w:hAnsi="宋体" w:cs="宋体"/>
                <w:color w:val="000000"/>
                <w:sz w:val="18"/>
                <w:u w:val="none"/>
              </w:rPr>
              <w:t>0</w:t>
            </w:r>
            <w:r>
              <w:rPr>
                <w:rStyle w:val="7"/>
                <w:rFonts w:hint="eastAsia" w:ascii="宋体" w:hAnsi="宋体" w:cs="宋体"/>
                <w:color w:val="000000"/>
                <w:sz w:val="18"/>
                <w:u w:val="none"/>
              </w:rPr>
              <w:t>分</w:t>
            </w:r>
          </w:p>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bCs/>
                <w:color w:val="000000"/>
                <w:sz w:val="18"/>
                <w:szCs w:val="21"/>
              </w:rPr>
            </w:pPr>
            <w:r>
              <w:rPr>
                <w:rStyle w:val="7"/>
                <w:rFonts w:hint="eastAsia" w:ascii="宋体" w:hAnsi="宋体" w:cs="宋体"/>
                <w:color w:val="000000"/>
                <w:sz w:val="18"/>
                <w:u w:val="none"/>
              </w:rPr>
              <w:t>无相应数据或数据失实</w:t>
            </w:r>
          </w:p>
        </w:tc>
        <w:tc>
          <w:tcPr>
            <w:tcW w:w="3260" w:type="dxa"/>
            <w:vMerge w:val="restart"/>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r>
              <w:rPr>
                <w:rStyle w:val="7"/>
                <w:rFonts w:hint="eastAsia" w:ascii="宋体" w:hAnsi="宋体" w:cs="宋体"/>
                <w:color w:val="000000"/>
                <w:sz w:val="18"/>
                <w:u w:val="none"/>
              </w:rPr>
              <w:t>见附录1：</w:t>
            </w:r>
            <w:r>
              <w:rPr>
                <w:rFonts w:hint="eastAsia" w:ascii="宋体" w:hAnsi="宋体" w:cs="宋体"/>
                <w:color w:val="000000"/>
                <w:sz w:val="18"/>
              </w:rPr>
              <w:t>养老机构入住人员满意度测评表</w:t>
            </w: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ascii="宋体" w:hAnsi="宋体" w:cs="宋体"/>
                <w:color w:val="000000"/>
                <w:sz w:val="18"/>
                <w:szCs w:val="21"/>
              </w:rPr>
              <w:t>&lt;80%</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80%</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951"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90%</w:t>
            </w:r>
          </w:p>
        </w:tc>
        <w:tc>
          <w:tcPr>
            <w:tcW w:w="3260" w:type="dxa"/>
            <w:vMerge w:val="continue"/>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3</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restart"/>
            <w:tcBorders>
              <w:top w:val="single" w:color="auto" w:sz="4" w:space="0"/>
              <w:left w:val="single" w:color="auto" w:sz="4" w:space="0"/>
              <w:right w:val="single" w:color="auto" w:sz="4" w:space="0"/>
            </w:tcBorders>
            <w:noWrap/>
            <w:vAlign w:val="top"/>
          </w:tcPr>
          <w:p>
            <w:pPr>
              <w:jc w:val="left"/>
              <w:rPr>
                <w:rStyle w:val="7"/>
                <w:rFonts w:ascii="宋体" w:hAnsi="宋体" w:cs="宋体"/>
                <w:color w:val="000000"/>
                <w:sz w:val="18"/>
                <w:u w:val="none"/>
              </w:rPr>
            </w:pPr>
            <w:r>
              <w:rPr>
                <w:rStyle w:val="7"/>
                <w:rFonts w:ascii="宋体" w:hAnsi="宋体" w:cs="宋体"/>
                <w:color w:val="000000"/>
                <w:sz w:val="18"/>
                <w:u w:val="none"/>
              </w:rPr>
              <w:t>3.8</w:t>
            </w:r>
            <w:r>
              <w:rPr>
                <w:rStyle w:val="7"/>
                <w:rFonts w:hint="eastAsia" w:ascii="宋体" w:hAnsi="宋体" w:cs="宋体"/>
                <w:color w:val="000000"/>
                <w:sz w:val="18"/>
                <w:u w:val="none"/>
              </w:rPr>
              <w:t>员工满意度</w:t>
            </w:r>
          </w:p>
          <w:p>
            <w:pPr>
              <w:jc w:val="left"/>
              <w:rPr>
                <w:rStyle w:val="7"/>
                <w:rFonts w:ascii="宋体" w:hAnsi="宋体" w:cs="宋体"/>
                <w:color w:val="000000"/>
                <w:sz w:val="18"/>
                <w:u w:val="none"/>
              </w:rPr>
            </w:pPr>
            <w:r>
              <w:rPr>
                <w:rStyle w:val="7"/>
                <w:rFonts w:hint="eastAsia" w:ascii="宋体" w:hAnsi="宋体" w:cs="宋体"/>
                <w:color w:val="000000"/>
                <w:sz w:val="18"/>
                <w:u w:val="none"/>
              </w:rPr>
              <w:t>3</w:t>
            </w:r>
            <w:r>
              <w:rPr>
                <w:rStyle w:val="7"/>
                <w:rFonts w:ascii="宋体" w:hAnsi="宋体" w:cs="宋体"/>
                <w:color w:val="000000"/>
                <w:sz w:val="18"/>
                <w:u w:val="none"/>
              </w:rPr>
              <w:t>0</w:t>
            </w:r>
            <w:r>
              <w:rPr>
                <w:rStyle w:val="7"/>
                <w:rFonts w:hint="eastAsia" w:ascii="宋体" w:hAnsi="宋体" w:cs="宋体"/>
                <w:color w:val="000000"/>
                <w:sz w:val="18"/>
                <w:u w:val="none"/>
              </w:rPr>
              <w:t>分</w:t>
            </w: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无相应数据或数据失实</w:t>
            </w:r>
          </w:p>
        </w:tc>
        <w:tc>
          <w:tcPr>
            <w:tcW w:w="3260" w:type="dxa"/>
            <w:vMerge w:val="restart"/>
            <w:tcBorders>
              <w:top w:val="single" w:color="auto" w:sz="4" w:space="0"/>
              <w:left w:val="single" w:color="auto" w:sz="4" w:space="0"/>
              <w:right w:val="single" w:color="auto" w:sz="4" w:space="0"/>
            </w:tcBorders>
            <w:noWrap/>
            <w:vAlign w:val="top"/>
          </w:tcPr>
          <w:p>
            <w:pPr>
              <w:jc w:val="left"/>
              <w:rPr>
                <w:rStyle w:val="7"/>
                <w:rFonts w:ascii="宋体" w:hAnsi="宋体" w:cs="宋体"/>
                <w:color w:val="000000"/>
                <w:sz w:val="18"/>
                <w:u w:val="none"/>
              </w:rPr>
            </w:pPr>
            <w:r>
              <w:rPr>
                <w:rStyle w:val="7"/>
                <w:rFonts w:hint="eastAsia" w:ascii="宋体" w:hAnsi="宋体" w:cs="宋体"/>
                <w:color w:val="000000"/>
                <w:sz w:val="18"/>
                <w:u w:val="none"/>
              </w:rPr>
              <w:t>见附录2：</w:t>
            </w:r>
            <w:r>
              <w:rPr>
                <w:rStyle w:val="7"/>
                <w:rFonts w:ascii="宋体" w:hAnsi="宋体" w:cs="宋体"/>
                <w:color w:val="000000"/>
                <w:sz w:val="18"/>
                <w:u w:val="none"/>
              </w:rPr>
              <w:t>养老机构员工满意度测评</w:t>
            </w:r>
            <w:r>
              <w:rPr>
                <w:rStyle w:val="7"/>
                <w:rFonts w:hint="eastAsia" w:ascii="宋体" w:hAnsi="宋体" w:cs="宋体"/>
                <w:color w:val="000000"/>
                <w:sz w:val="18"/>
                <w:u w:val="none"/>
              </w:rPr>
              <w:t>表</w:t>
            </w: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noWrap/>
            <w:vAlign w:val="top"/>
          </w:tcPr>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ascii="宋体" w:hAnsi="宋体" w:cs="宋体"/>
                <w:color w:val="000000"/>
                <w:sz w:val="18"/>
                <w:szCs w:val="21"/>
              </w:rPr>
              <w:t>&lt;80%</w:t>
            </w:r>
          </w:p>
        </w:tc>
        <w:tc>
          <w:tcPr>
            <w:tcW w:w="3260" w:type="dxa"/>
            <w:vMerge w:val="continue"/>
            <w:tcBorders>
              <w:left w:val="single" w:color="auto" w:sz="4" w:space="0"/>
              <w:right w:val="single" w:color="auto" w:sz="4" w:space="0"/>
            </w:tcBorders>
            <w:noWrap/>
            <w:vAlign w:val="top"/>
          </w:tcPr>
          <w:p>
            <w:pPr>
              <w:jc w:val="left"/>
              <w:rPr>
                <w:rStyle w:val="7"/>
                <w:rFonts w:ascii="宋体" w:hAnsi="宋体" w:cs="宋体"/>
                <w:color w:val="000000"/>
                <w:sz w:val="18"/>
                <w:u w:val="none"/>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10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right w:val="single" w:color="auto" w:sz="4" w:space="0"/>
            </w:tcBorders>
            <w:noWrap/>
            <w:vAlign w:val="top"/>
          </w:tcPr>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80%</w:t>
            </w:r>
          </w:p>
        </w:tc>
        <w:tc>
          <w:tcPr>
            <w:tcW w:w="3260" w:type="dxa"/>
            <w:vMerge w:val="continue"/>
            <w:tcBorders>
              <w:left w:val="single" w:color="auto" w:sz="4" w:space="0"/>
              <w:right w:val="single" w:color="auto" w:sz="4" w:space="0"/>
            </w:tcBorders>
            <w:noWrap/>
            <w:vAlign w:val="top"/>
          </w:tcPr>
          <w:p>
            <w:pPr>
              <w:jc w:val="left"/>
              <w:rPr>
                <w:rStyle w:val="7"/>
                <w:rFonts w:ascii="宋体" w:hAnsi="宋体" w:cs="宋体"/>
                <w:color w:val="000000"/>
                <w:sz w:val="18"/>
                <w:u w:val="none"/>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20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951" w:type="dxa"/>
            <w:vMerge w:val="continue"/>
            <w:tcBorders>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2835" w:type="dxa"/>
            <w:tcBorders>
              <w:top w:val="single" w:color="auto" w:sz="4" w:space="0"/>
              <w:left w:val="single" w:color="auto" w:sz="4" w:space="0"/>
              <w:bottom w:val="single" w:color="auto" w:sz="4" w:space="0"/>
              <w:right w:val="single" w:color="auto" w:sz="4" w:space="0"/>
            </w:tcBorders>
            <w:noWrap/>
            <w:vAlign w:val="top"/>
          </w:tcPr>
          <w:p>
            <w:pPr>
              <w:rPr>
                <w:rFonts w:ascii="宋体" w:hAnsi="宋体" w:cs="宋体"/>
                <w:color w:val="000000"/>
                <w:sz w:val="18"/>
                <w:szCs w:val="21"/>
              </w:rPr>
            </w:pPr>
            <w:r>
              <w:rPr>
                <w:rFonts w:hint="eastAsia" w:ascii="宋体" w:hAnsi="宋体" w:cs="宋体"/>
                <w:color w:val="000000"/>
                <w:sz w:val="18"/>
                <w:szCs w:val="21"/>
              </w:rPr>
              <w:t>≧</w:t>
            </w:r>
            <w:r>
              <w:rPr>
                <w:rFonts w:ascii="宋体" w:hAnsi="宋体" w:cs="宋体"/>
                <w:color w:val="000000"/>
                <w:sz w:val="18"/>
                <w:szCs w:val="21"/>
              </w:rPr>
              <w:t>90%</w:t>
            </w:r>
          </w:p>
        </w:tc>
        <w:tc>
          <w:tcPr>
            <w:tcW w:w="3260" w:type="dxa"/>
            <w:vMerge w:val="continue"/>
            <w:tcBorders>
              <w:left w:val="single" w:color="auto" w:sz="4" w:space="0"/>
              <w:bottom w:val="single" w:color="auto" w:sz="4" w:space="0"/>
              <w:right w:val="single" w:color="auto" w:sz="4" w:space="0"/>
            </w:tcBorders>
            <w:noWrap/>
            <w:vAlign w:val="top"/>
          </w:tcPr>
          <w:p>
            <w:pPr>
              <w:jc w:val="left"/>
              <w:rPr>
                <w:rStyle w:val="7"/>
                <w:rFonts w:ascii="宋体" w:hAnsi="宋体" w:cs="宋体"/>
                <w:color w:val="000000"/>
                <w:sz w:val="18"/>
                <w:u w:val="none"/>
              </w:rPr>
            </w:pPr>
          </w:p>
        </w:tc>
        <w:tc>
          <w:tcPr>
            <w:tcW w:w="885" w:type="dxa"/>
            <w:tcBorders>
              <w:top w:val="single" w:color="auto" w:sz="4" w:space="0"/>
              <w:left w:val="single" w:color="auto" w:sz="4" w:space="0"/>
              <w:bottom w:val="single" w:color="auto" w:sz="4" w:space="0"/>
              <w:right w:val="single" w:color="auto" w:sz="4" w:space="0"/>
            </w:tcBorders>
            <w:noWrap/>
            <w:vAlign w:val="top"/>
          </w:tcPr>
          <w:p>
            <w:pPr>
              <w:jc w:val="center"/>
              <w:rPr>
                <w:rStyle w:val="7"/>
                <w:rFonts w:ascii="宋体" w:hAnsi="宋体" w:cs="宋体"/>
                <w:color w:val="000000"/>
                <w:sz w:val="18"/>
                <w:u w:val="none"/>
              </w:rPr>
            </w:pPr>
            <w:r>
              <w:rPr>
                <w:rStyle w:val="7"/>
                <w:rFonts w:hint="eastAsia" w:ascii="宋体" w:hAnsi="宋体" w:cs="宋体"/>
                <w:color w:val="000000"/>
                <w:sz w:val="18"/>
                <w:u w:val="none"/>
              </w:rPr>
              <w:t>3</w:t>
            </w:r>
            <w:r>
              <w:rPr>
                <w:rStyle w:val="7"/>
                <w:rFonts w:ascii="宋体" w:hAnsi="宋体" w:cs="宋体"/>
                <w:color w:val="000000"/>
                <w:sz w:val="18"/>
                <w:u w:val="none"/>
              </w:rPr>
              <w:t>0</w:t>
            </w:r>
          </w:p>
        </w:tc>
        <w:tc>
          <w:tcPr>
            <w:tcW w:w="778" w:type="dxa"/>
            <w:tcBorders>
              <w:top w:val="single" w:color="auto" w:sz="4" w:space="0"/>
              <w:left w:val="single" w:color="auto" w:sz="4" w:space="0"/>
              <w:bottom w:val="single" w:color="auto" w:sz="4" w:space="0"/>
              <w:right w:val="single" w:color="auto" w:sz="4" w:space="0"/>
            </w:tcBorders>
            <w:noWrap/>
            <w:vAlign w:val="top"/>
          </w:tcPr>
          <w:p>
            <w:pPr>
              <w:jc w:val="left"/>
              <w:rPr>
                <w:rStyle w:val="7"/>
                <w:rFonts w:ascii="宋体" w:hAnsi="宋体"/>
                <w:color w:val="000000"/>
                <w:sz w:val="18"/>
                <w:u w:val="none"/>
              </w:rPr>
            </w:pPr>
          </w:p>
        </w:tc>
      </w:tr>
    </w:tbl>
    <w:p>
      <w:pPr>
        <w:jc w:val="left"/>
        <w:rPr>
          <w:rFonts w:ascii="宋体" w:hAnsi="宋体" w:cs="宋体"/>
          <w:szCs w:val="21"/>
        </w:rPr>
      </w:pPr>
    </w:p>
    <w:p>
      <w:pPr>
        <w:jc w:val="left"/>
        <w:rPr>
          <w:rFonts w:ascii="宋体" w:hAnsi="宋体" w:cs="宋体"/>
          <w:szCs w:val="21"/>
        </w:rPr>
      </w:pPr>
      <w:r>
        <w:rPr>
          <w:rFonts w:hint="eastAsia" w:ascii="宋体" w:hAnsi="宋体" w:cs="宋体"/>
          <w:szCs w:val="21"/>
        </w:rPr>
        <w:t>注：</w:t>
      </w:r>
      <w:r>
        <w:rPr>
          <w:rFonts w:ascii="宋体" w:hAnsi="宋体" w:cs="宋体"/>
          <w:szCs w:val="21"/>
        </w:rPr>
        <w:t>3.1床位入住率</w:t>
      </w:r>
      <w:r>
        <w:rPr>
          <w:rFonts w:hint="eastAsia" w:ascii="宋体" w:hAnsi="宋体" w:cs="宋体"/>
          <w:szCs w:val="21"/>
        </w:rPr>
        <w:t>：</w:t>
      </w:r>
    </w:p>
    <w:p>
      <w:r>
        <w:rPr>
          <w:rFonts w:hint="eastAsia"/>
        </w:rPr>
        <w:t>1.申请5星评定的养老机机构入住率不低于50%，不符合此项要求，则自动终止评定程序。</w:t>
      </w:r>
    </w:p>
    <w:p>
      <w:r>
        <w:rPr>
          <w:rFonts w:hint="eastAsia"/>
        </w:rPr>
        <w:t>2.申请4星评定的养老机机构入住率不低于45%，不符合此项要求，则自动终止评定程序。</w:t>
      </w:r>
    </w:p>
    <w:p>
      <w:pPr>
        <w:widowControl/>
        <w:rPr>
          <w:rFonts w:ascii="仿宋_GB2312" w:hAnsi="宋体" w:eastAsia="仿宋_GB2312" w:cs="宋体"/>
          <w:b/>
          <w:kern w:val="0"/>
          <w:sz w:val="28"/>
          <w:szCs w:val="28"/>
        </w:rPr>
      </w:pPr>
    </w:p>
    <w:p>
      <w:pPr>
        <w:widowControl/>
        <w:rPr>
          <w:rFonts w:ascii="仿宋_GB2312" w:hAnsi="宋体" w:eastAsia="仿宋_GB2312" w:cs="宋体"/>
          <w:b/>
          <w:kern w:val="0"/>
          <w:sz w:val="28"/>
          <w:szCs w:val="28"/>
        </w:rPr>
        <w:sectPr>
          <w:pgSz w:w="11906" w:h="16838"/>
          <w:pgMar w:top="1440" w:right="1558" w:bottom="1440" w:left="1800" w:header="851" w:footer="992" w:gutter="0"/>
          <w:pgNumType w:fmt="numberInDash"/>
          <w:cols w:space="425" w:num="1"/>
          <w:docGrid w:type="lines" w:linePitch="312" w:charSpace="0"/>
        </w:sectPr>
      </w:pPr>
    </w:p>
    <w:p>
      <w:pPr>
        <w:widowControl/>
        <w:rPr>
          <w:rFonts w:ascii="仿宋" w:hAnsi="仿宋" w:eastAsia="仿宋" w:cs="宋体"/>
          <w:kern w:val="0"/>
          <w:sz w:val="32"/>
          <w:szCs w:val="32"/>
        </w:rPr>
      </w:pPr>
      <w:r>
        <w:rPr>
          <w:rFonts w:hint="eastAsia" w:ascii="仿宋" w:hAnsi="仿宋" w:eastAsia="仿宋" w:cs="宋体"/>
          <w:kern w:val="0"/>
          <w:sz w:val="32"/>
          <w:szCs w:val="32"/>
        </w:rPr>
        <w:t>附录1：养老机构入住人员满意度调查表</w:t>
      </w:r>
    </w:p>
    <w:p>
      <w:pPr>
        <w:widowControl/>
        <w:spacing w:line="384" w:lineRule="auto"/>
        <w:ind w:firstLine="4032" w:firstLineChars="1440"/>
        <w:rPr>
          <w:rFonts w:ascii="宋体" w:hAnsi="宋体" w:cs="宋体"/>
          <w:b/>
          <w:kern w:val="0"/>
          <w:sz w:val="28"/>
          <w:szCs w:val="28"/>
        </w:rPr>
      </w:pPr>
      <w:r>
        <w:rPr>
          <w:rFonts w:hint="eastAsia" w:ascii="宋体" w:hAnsi="宋体" w:cs="宋体"/>
          <w:b/>
          <w:kern w:val="0"/>
          <w:sz w:val="28"/>
          <w:szCs w:val="28"/>
        </w:rPr>
        <w:t>养老机构入住人员满意度调查表（</w:t>
      </w:r>
      <w:r>
        <w:rPr>
          <w:rFonts w:ascii="宋体" w:hAnsi="宋体" w:cs="宋体"/>
          <w:b/>
          <w:kern w:val="0"/>
          <w:sz w:val="28"/>
          <w:szCs w:val="28"/>
        </w:rPr>
        <w:t>共</w:t>
      </w:r>
      <w:r>
        <w:rPr>
          <w:rFonts w:hint="eastAsia" w:ascii="宋体" w:hAnsi="宋体" w:cs="宋体"/>
          <w:b/>
          <w:kern w:val="0"/>
          <w:sz w:val="28"/>
          <w:szCs w:val="28"/>
        </w:rPr>
        <w:t>20分，</w:t>
      </w:r>
      <w:r>
        <w:rPr>
          <w:rFonts w:ascii="宋体" w:hAnsi="宋体" w:cs="宋体"/>
          <w:b/>
          <w:kern w:val="0"/>
          <w:sz w:val="28"/>
          <w:szCs w:val="28"/>
        </w:rPr>
        <w:t>每项</w:t>
      </w:r>
      <w:r>
        <w:rPr>
          <w:rFonts w:hint="eastAsia" w:ascii="宋体" w:hAnsi="宋体" w:cs="宋体"/>
          <w:b/>
          <w:kern w:val="0"/>
          <w:sz w:val="28"/>
          <w:szCs w:val="28"/>
        </w:rPr>
        <w:t>2分）</w:t>
      </w:r>
    </w:p>
    <w:p>
      <w:pPr>
        <w:rPr>
          <w:szCs w:val="21"/>
        </w:rPr>
      </w:pPr>
      <w:r>
        <w:rPr>
          <w:rFonts w:hint="eastAsia"/>
          <w:szCs w:val="21"/>
        </w:rPr>
        <w:t>您</w:t>
      </w:r>
      <w:r>
        <w:rPr>
          <w:szCs w:val="21"/>
        </w:rPr>
        <w:t>好</w:t>
      </w:r>
      <w:r>
        <w:rPr>
          <w:rFonts w:hint="eastAsia"/>
          <w:szCs w:val="21"/>
        </w:rPr>
        <w:t>！</w:t>
      </w:r>
    </w:p>
    <w:p>
      <w:pPr>
        <w:ind w:firstLine="420" w:firstLineChars="200"/>
        <w:rPr>
          <w:szCs w:val="21"/>
        </w:rPr>
      </w:pPr>
      <w:r>
        <w:rPr>
          <w:rFonts w:hint="eastAsia"/>
          <w:szCs w:val="21"/>
        </w:rPr>
        <w:t>我们受陕西省民政厅（市民政局）的委托来贵机构进行星级评定，星级评定是为了使您在机构过得更健康、</w:t>
      </w:r>
      <w:r>
        <w:rPr>
          <w:szCs w:val="21"/>
        </w:rPr>
        <w:t>更</w:t>
      </w:r>
      <w:r>
        <w:rPr>
          <w:rFonts w:hint="eastAsia"/>
          <w:szCs w:val="21"/>
        </w:rPr>
        <w:t>愉快。您的满意度是星级评定工作的重要部分。请您根据实际情况进行选择和填写。请放心，您的意见是匿名的，仅用于统计使用。</w:t>
      </w:r>
    </w:p>
    <w:p>
      <w:pPr>
        <w:ind w:firstLine="480"/>
        <w:rPr>
          <w:szCs w:val="21"/>
        </w:rPr>
      </w:pPr>
      <w:r>
        <w:rPr>
          <w:rFonts w:hint="eastAsia"/>
          <w:sz w:val="24"/>
        </w:rPr>
        <w:t>机构名称：</w:t>
      </w:r>
    </w:p>
    <w:tbl>
      <w:tblPr>
        <w:tblStyle w:val="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96"/>
        <w:gridCol w:w="2596"/>
        <w:gridCol w:w="633"/>
        <w:gridCol w:w="2461"/>
        <w:gridCol w:w="2987"/>
        <w:gridCol w:w="2157"/>
        <w:gridCol w:w="931"/>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50" w:type="dxa"/>
            <w:noWrap/>
            <w:vAlign w:val="center"/>
          </w:tcPr>
          <w:p>
            <w:pPr>
              <w:jc w:val="center"/>
              <w:rPr>
                <w:sz w:val="24"/>
              </w:rPr>
            </w:pPr>
            <w:r>
              <w:rPr>
                <w:rFonts w:hint="eastAsia"/>
                <w:sz w:val="24"/>
              </w:rPr>
              <w:t>题号</w:t>
            </w:r>
          </w:p>
        </w:tc>
        <w:tc>
          <w:tcPr>
            <w:tcW w:w="4325" w:type="dxa"/>
            <w:gridSpan w:val="3"/>
            <w:noWrap/>
            <w:vAlign w:val="center"/>
          </w:tcPr>
          <w:p>
            <w:pPr>
              <w:jc w:val="center"/>
              <w:rPr>
                <w:sz w:val="24"/>
              </w:rPr>
            </w:pPr>
            <w:r>
              <w:rPr>
                <w:sz w:val="24"/>
              </w:rPr>
              <w:t>项目</w:t>
            </w:r>
          </w:p>
        </w:tc>
        <w:tc>
          <w:tcPr>
            <w:tcW w:w="8536" w:type="dxa"/>
            <w:gridSpan w:val="4"/>
            <w:noWrap/>
            <w:vAlign w:val="center"/>
          </w:tcPr>
          <w:p>
            <w:pPr>
              <w:jc w:val="center"/>
              <w:rPr>
                <w:sz w:val="24"/>
              </w:rPr>
            </w:pPr>
            <w:r>
              <w:rPr>
                <w:rFonts w:hint="eastAsia"/>
                <w:sz w:val="24"/>
              </w:rPr>
              <w:t>老年人评价</w:t>
            </w:r>
          </w:p>
        </w:tc>
        <w:tc>
          <w:tcPr>
            <w:tcW w:w="847" w:type="dxa"/>
            <w:noWrap/>
            <w:vAlign w:val="center"/>
          </w:tcPr>
          <w:p>
            <w:pPr>
              <w:jc w:val="center"/>
              <w:rPr>
                <w:sz w:val="24"/>
              </w:rPr>
            </w:pPr>
            <w:r>
              <w:rPr>
                <w:rFonts w:hint="eastAsia"/>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rFonts w:ascii="楷体" w:hAnsi="楷体" w:eastAsia="楷体"/>
                <w:szCs w:val="21"/>
              </w:rPr>
            </w:pPr>
            <w:r>
              <w:rPr>
                <w:rFonts w:hint="eastAsia" w:ascii="楷体" w:hAnsi="楷体" w:eastAsia="楷体"/>
                <w:szCs w:val="21"/>
              </w:rPr>
              <w:t>1</w:t>
            </w:r>
          </w:p>
        </w:tc>
        <w:tc>
          <w:tcPr>
            <w:tcW w:w="4325" w:type="dxa"/>
            <w:gridSpan w:val="3"/>
            <w:noWrap/>
            <w:vAlign w:val="top"/>
          </w:tcPr>
          <w:p>
            <w:pPr>
              <w:rPr>
                <w:szCs w:val="21"/>
              </w:rPr>
            </w:pPr>
            <w:r>
              <w:rPr>
                <w:rFonts w:hint="eastAsia"/>
                <w:szCs w:val="21"/>
              </w:rPr>
              <w:t>您对入住价格和得到服务匹配满意程度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rFonts w:ascii="楷体" w:hAnsi="楷体" w:eastAsia="楷体"/>
                <w:szCs w:val="21"/>
              </w:rPr>
            </w:pPr>
            <w:r>
              <w:rPr>
                <w:rFonts w:hint="eastAsia" w:ascii="楷体" w:hAnsi="楷体" w:eastAsia="楷体"/>
                <w:szCs w:val="21"/>
              </w:rPr>
              <w:t>2</w:t>
            </w:r>
          </w:p>
        </w:tc>
        <w:tc>
          <w:tcPr>
            <w:tcW w:w="4325" w:type="dxa"/>
            <w:gridSpan w:val="3"/>
            <w:noWrap/>
            <w:vAlign w:val="top"/>
          </w:tcPr>
          <w:p>
            <w:pPr>
              <w:rPr>
                <w:szCs w:val="21"/>
              </w:rPr>
            </w:pPr>
            <w:r>
              <w:rPr>
                <w:rFonts w:hint="eastAsia"/>
                <w:szCs w:val="21"/>
              </w:rPr>
              <w:t>您对入住房间满意程度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noWrap/>
            <w:vAlign w:val="top"/>
          </w:tcPr>
          <w:p>
            <w:pPr>
              <w:jc w:val="center"/>
              <w:rPr>
                <w:rFonts w:ascii="楷体" w:hAnsi="楷体" w:eastAsia="楷体"/>
                <w:szCs w:val="21"/>
              </w:rPr>
            </w:pPr>
            <w:r>
              <w:rPr>
                <w:rFonts w:hint="eastAsia" w:ascii="楷体" w:hAnsi="楷体" w:eastAsia="楷体"/>
                <w:szCs w:val="21"/>
              </w:rPr>
              <w:t>3</w:t>
            </w:r>
          </w:p>
        </w:tc>
        <w:tc>
          <w:tcPr>
            <w:tcW w:w="4325" w:type="dxa"/>
            <w:gridSpan w:val="3"/>
            <w:noWrap/>
            <w:vAlign w:val="top"/>
          </w:tcPr>
          <w:p>
            <w:pPr>
              <w:rPr>
                <w:szCs w:val="21"/>
              </w:rPr>
            </w:pPr>
            <w:r>
              <w:rPr>
                <w:rFonts w:hint="eastAsia"/>
                <w:szCs w:val="21"/>
              </w:rPr>
              <w:t>您对服务人员的态度满意程度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rFonts w:ascii="楷体" w:hAnsi="楷体" w:eastAsia="楷体"/>
                <w:szCs w:val="21"/>
              </w:rPr>
            </w:pPr>
            <w:r>
              <w:rPr>
                <w:rFonts w:hint="eastAsia" w:ascii="楷体" w:hAnsi="楷体" w:eastAsia="楷体"/>
                <w:szCs w:val="21"/>
              </w:rPr>
              <w:t>4</w:t>
            </w:r>
          </w:p>
        </w:tc>
        <w:tc>
          <w:tcPr>
            <w:tcW w:w="4325" w:type="dxa"/>
            <w:gridSpan w:val="3"/>
            <w:noWrap/>
            <w:vAlign w:val="top"/>
          </w:tcPr>
          <w:p>
            <w:pPr>
              <w:rPr>
                <w:szCs w:val="21"/>
              </w:rPr>
            </w:pPr>
            <w:r>
              <w:rPr>
                <w:rFonts w:hint="eastAsia"/>
                <w:szCs w:val="21"/>
              </w:rPr>
              <w:t>您对服务人员的服务水平满意程度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rFonts w:ascii="楷体" w:hAnsi="楷体" w:eastAsia="楷体"/>
                <w:szCs w:val="21"/>
              </w:rPr>
            </w:pPr>
            <w:r>
              <w:rPr>
                <w:rFonts w:hint="eastAsia" w:ascii="楷体" w:hAnsi="楷体" w:eastAsia="楷体"/>
                <w:szCs w:val="21"/>
              </w:rPr>
              <w:t>5</w:t>
            </w:r>
          </w:p>
        </w:tc>
        <w:tc>
          <w:tcPr>
            <w:tcW w:w="4325" w:type="dxa"/>
            <w:gridSpan w:val="3"/>
            <w:noWrap/>
            <w:vAlign w:val="top"/>
          </w:tcPr>
          <w:p>
            <w:pPr>
              <w:rPr>
                <w:szCs w:val="21"/>
              </w:rPr>
            </w:pPr>
            <w:r>
              <w:rPr>
                <w:rFonts w:hint="eastAsia"/>
                <w:szCs w:val="21"/>
              </w:rPr>
              <w:t>您对机构管理方式的满意程度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rFonts w:ascii="楷体" w:hAnsi="楷体" w:eastAsia="楷体"/>
                <w:szCs w:val="21"/>
              </w:rPr>
            </w:pPr>
            <w:r>
              <w:rPr>
                <w:rFonts w:hint="eastAsia" w:ascii="楷体" w:hAnsi="楷体" w:eastAsia="楷体"/>
                <w:szCs w:val="21"/>
              </w:rPr>
              <w:t>6</w:t>
            </w:r>
          </w:p>
        </w:tc>
        <w:tc>
          <w:tcPr>
            <w:tcW w:w="4325" w:type="dxa"/>
            <w:gridSpan w:val="3"/>
            <w:noWrap/>
            <w:vAlign w:val="top"/>
          </w:tcPr>
          <w:p>
            <w:pPr>
              <w:rPr>
                <w:szCs w:val="21"/>
              </w:rPr>
            </w:pPr>
            <w:r>
              <w:rPr>
                <w:rFonts w:hint="eastAsia"/>
                <w:szCs w:val="21"/>
              </w:rPr>
              <w:t>您对机构的环境卫生满意程度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0" w:type="dxa"/>
            <w:noWrap/>
            <w:vAlign w:val="top"/>
          </w:tcPr>
          <w:p>
            <w:pPr>
              <w:jc w:val="center"/>
              <w:rPr>
                <w:rFonts w:ascii="楷体" w:hAnsi="楷体" w:eastAsia="楷体"/>
                <w:szCs w:val="21"/>
              </w:rPr>
            </w:pPr>
            <w:r>
              <w:rPr>
                <w:rFonts w:hint="eastAsia" w:ascii="楷体" w:hAnsi="楷体" w:eastAsia="楷体"/>
                <w:szCs w:val="21"/>
              </w:rPr>
              <w:t>7</w:t>
            </w:r>
          </w:p>
        </w:tc>
        <w:tc>
          <w:tcPr>
            <w:tcW w:w="4325" w:type="dxa"/>
            <w:gridSpan w:val="3"/>
            <w:noWrap/>
            <w:vAlign w:val="top"/>
          </w:tcPr>
          <w:p>
            <w:pPr>
              <w:rPr>
                <w:szCs w:val="21"/>
              </w:rPr>
            </w:pPr>
            <w:r>
              <w:rPr>
                <w:rFonts w:hint="eastAsia"/>
                <w:szCs w:val="21"/>
              </w:rPr>
              <w:t>您对机构膳食满意程度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rFonts w:ascii="楷体" w:hAnsi="楷体" w:eastAsia="楷体"/>
                <w:szCs w:val="21"/>
              </w:rPr>
            </w:pPr>
            <w:r>
              <w:rPr>
                <w:rFonts w:hint="eastAsia" w:ascii="楷体" w:hAnsi="楷体" w:eastAsia="楷体"/>
                <w:szCs w:val="21"/>
              </w:rPr>
              <w:t>8</w:t>
            </w:r>
          </w:p>
        </w:tc>
        <w:tc>
          <w:tcPr>
            <w:tcW w:w="4325" w:type="dxa"/>
            <w:gridSpan w:val="3"/>
            <w:noWrap/>
            <w:vAlign w:val="top"/>
          </w:tcPr>
          <w:p>
            <w:pPr>
              <w:rPr>
                <w:szCs w:val="21"/>
              </w:rPr>
            </w:pPr>
            <w:r>
              <w:rPr>
                <w:rFonts w:hint="eastAsia"/>
                <w:szCs w:val="21"/>
              </w:rPr>
              <w:t>您对机构的基本医疗设施满意程度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rFonts w:ascii="楷体" w:hAnsi="楷体" w:eastAsia="楷体"/>
                <w:szCs w:val="21"/>
              </w:rPr>
            </w:pPr>
            <w:r>
              <w:rPr>
                <w:rFonts w:hint="eastAsia" w:ascii="楷体" w:hAnsi="楷体" w:eastAsia="楷体"/>
                <w:szCs w:val="21"/>
              </w:rPr>
              <w:t>9</w:t>
            </w:r>
          </w:p>
        </w:tc>
        <w:tc>
          <w:tcPr>
            <w:tcW w:w="4325" w:type="dxa"/>
            <w:gridSpan w:val="3"/>
            <w:noWrap/>
            <w:vAlign w:val="top"/>
          </w:tcPr>
          <w:p>
            <w:pPr>
              <w:rPr>
                <w:szCs w:val="21"/>
              </w:rPr>
            </w:pPr>
            <w:r>
              <w:rPr>
                <w:rFonts w:hint="eastAsia"/>
                <w:szCs w:val="21"/>
              </w:rPr>
              <w:t>您对精神慰藉服务的满意程度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ign w:val="top"/>
          </w:tcPr>
          <w:p>
            <w:pPr>
              <w:jc w:val="center"/>
              <w:rPr>
                <w:szCs w:val="21"/>
              </w:rPr>
            </w:pPr>
            <w:r>
              <w:rPr>
                <w:rFonts w:hint="eastAsia"/>
                <w:szCs w:val="21"/>
              </w:rPr>
              <w:t>10</w:t>
            </w:r>
          </w:p>
        </w:tc>
        <w:tc>
          <w:tcPr>
            <w:tcW w:w="4325" w:type="dxa"/>
            <w:gridSpan w:val="3"/>
            <w:noWrap/>
            <w:vAlign w:val="top"/>
          </w:tcPr>
          <w:p>
            <w:pPr>
              <w:rPr>
                <w:szCs w:val="21"/>
              </w:rPr>
            </w:pPr>
            <w:r>
              <w:rPr>
                <w:rFonts w:hint="eastAsia"/>
                <w:szCs w:val="21"/>
              </w:rPr>
              <w:t>您对机构的总体满意程度</w:t>
            </w:r>
          </w:p>
        </w:tc>
        <w:tc>
          <w:tcPr>
            <w:tcW w:w="8536" w:type="dxa"/>
            <w:gridSpan w:val="4"/>
            <w:noWrap/>
            <w:vAlign w:val="top"/>
          </w:tcPr>
          <w:p>
            <w:pPr>
              <w:rPr>
                <w:szCs w:val="21"/>
              </w:rPr>
            </w:pPr>
            <w:r>
              <w:rPr>
                <w:rFonts w:hint="eastAsia"/>
                <w:szCs w:val="21"/>
              </w:rPr>
              <w:t>□满意（2分）□一般（1分）□不满意（0分）</w:t>
            </w:r>
          </w:p>
        </w:tc>
        <w:tc>
          <w:tcPr>
            <w:tcW w:w="847"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5" w:type="dxa"/>
            <w:gridSpan w:val="4"/>
            <w:noWrap/>
            <w:vAlign w:val="top"/>
          </w:tcPr>
          <w:p>
            <w:pPr>
              <w:jc w:val="center"/>
              <w:rPr>
                <w:b/>
                <w:szCs w:val="21"/>
              </w:rPr>
            </w:pPr>
            <w:r>
              <w:rPr>
                <w:rFonts w:hint="eastAsia"/>
                <w:b/>
                <w:szCs w:val="21"/>
              </w:rPr>
              <w:t>得分合计</w:t>
            </w:r>
          </w:p>
        </w:tc>
        <w:tc>
          <w:tcPr>
            <w:tcW w:w="9383" w:type="dxa"/>
            <w:gridSpan w:val="5"/>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58" w:type="dxa"/>
            <w:gridSpan w:val="9"/>
            <w:noWrap/>
            <w:vAlign w:val="top"/>
          </w:tcPr>
          <w:p>
            <w:pPr>
              <w:rPr>
                <w:sz w:val="24"/>
              </w:rPr>
            </w:pPr>
            <w:r>
              <w:rPr>
                <w:sz w:val="24"/>
              </w:rPr>
              <w:t>您的</w:t>
            </w:r>
            <w:r>
              <w:rPr>
                <w:rFonts w:hint="eastAsia"/>
                <w:sz w:val="24"/>
              </w:rPr>
              <w:t>其他</w:t>
            </w:r>
            <w:r>
              <w:rPr>
                <w:sz w:val="24"/>
              </w:rPr>
              <w:t>意见或建议</w:t>
            </w:r>
            <w:r>
              <w:rPr>
                <w:rFonts w:hint="eastAsia"/>
                <w:sz w:val="24"/>
              </w:rPr>
              <w:t>：</w:t>
            </w:r>
            <w:r>
              <w:rPr>
                <w:rFonts w:hint="eastAsia"/>
                <w:sz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6" w:type="dxa"/>
            <w:gridSpan w:val="2"/>
            <w:noWrap/>
            <w:vAlign w:val="top"/>
          </w:tcPr>
          <w:p>
            <w:pPr>
              <w:rPr>
                <w:sz w:val="24"/>
              </w:rPr>
            </w:pPr>
            <w:r>
              <w:rPr>
                <w:rFonts w:hint="eastAsia"/>
                <w:sz w:val="24"/>
              </w:rPr>
              <w:t>调查表编号</w:t>
            </w:r>
          </w:p>
        </w:tc>
        <w:tc>
          <w:tcPr>
            <w:tcW w:w="2596" w:type="dxa"/>
            <w:noWrap/>
            <w:vAlign w:val="top"/>
          </w:tcPr>
          <w:p>
            <w:pPr>
              <w:rPr>
                <w:sz w:val="24"/>
              </w:rPr>
            </w:pPr>
          </w:p>
        </w:tc>
        <w:tc>
          <w:tcPr>
            <w:tcW w:w="3094" w:type="dxa"/>
            <w:gridSpan w:val="2"/>
            <w:noWrap/>
            <w:vAlign w:val="top"/>
          </w:tcPr>
          <w:p>
            <w:pPr>
              <w:rPr>
                <w:sz w:val="24"/>
              </w:rPr>
            </w:pPr>
            <w:r>
              <w:rPr>
                <w:rFonts w:hint="eastAsia"/>
                <w:sz w:val="24"/>
              </w:rPr>
              <w:t>调查人员</w:t>
            </w:r>
          </w:p>
        </w:tc>
        <w:tc>
          <w:tcPr>
            <w:tcW w:w="2987" w:type="dxa"/>
            <w:noWrap/>
            <w:vAlign w:val="top"/>
          </w:tcPr>
          <w:p>
            <w:pPr>
              <w:rPr>
                <w:sz w:val="24"/>
              </w:rPr>
            </w:pPr>
          </w:p>
        </w:tc>
        <w:tc>
          <w:tcPr>
            <w:tcW w:w="2157" w:type="dxa"/>
            <w:noWrap/>
            <w:vAlign w:val="top"/>
          </w:tcPr>
          <w:p>
            <w:pPr>
              <w:rPr>
                <w:sz w:val="24"/>
              </w:rPr>
            </w:pPr>
            <w:r>
              <w:rPr>
                <w:rFonts w:hint="eastAsia"/>
                <w:sz w:val="24"/>
              </w:rPr>
              <w:t>调查时间</w:t>
            </w:r>
          </w:p>
        </w:tc>
        <w:tc>
          <w:tcPr>
            <w:tcW w:w="1778" w:type="dxa"/>
            <w:gridSpan w:val="2"/>
            <w:noWrap/>
            <w:vAlign w:val="top"/>
          </w:tcPr>
          <w:p>
            <w:pPr>
              <w:rPr>
                <w:sz w:val="24"/>
              </w:rPr>
            </w:pPr>
          </w:p>
        </w:tc>
      </w:tr>
    </w:tbl>
    <w:p>
      <w:pPr>
        <w:spacing w:line="240" w:lineRule="atLeast"/>
        <w:rPr>
          <w:rFonts w:ascii="仿宋" w:hAnsi="仿宋" w:eastAsia="仿宋"/>
          <w:szCs w:val="22"/>
        </w:rPr>
      </w:pPr>
      <w:r>
        <w:rPr>
          <w:rFonts w:hint="eastAsia" w:ascii="仿宋" w:hAnsi="仿宋" w:eastAsia="仿宋"/>
          <w:szCs w:val="22"/>
        </w:rPr>
        <w:t>备注：</w:t>
      </w:r>
      <w:r>
        <w:rPr>
          <w:rFonts w:ascii="仿宋" w:hAnsi="仿宋" w:eastAsia="仿宋"/>
          <w:szCs w:val="22"/>
        </w:rPr>
        <w:t>1、本调查表适用于养老机构</w:t>
      </w:r>
      <w:r>
        <w:rPr>
          <w:rFonts w:hint="eastAsia" w:ascii="仿宋" w:hAnsi="仿宋" w:eastAsia="仿宋"/>
          <w:szCs w:val="22"/>
        </w:rPr>
        <w:t>入住老年人或其家属</w:t>
      </w:r>
      <w:r>
        <w:rPr>
          <w:rFonts w:ascii="仿宋" w:hAnsi="仿宋" w:eastAsia="仿宋"/>
          <w:szCs w:val="22"/>
        </w:rPr>
        <w:t xml:space="preserve">； </w:t>
      </w:r>
    </w:p>
    <w:p>
      <w:pPr>
        <w:spacing w:line="240" w:lineRule="atLeast"/>
        <w:rPr>
          <w:rFonts w:ascii="仿宋" w:hAnsi="仿宋" w:eastAsia="仿宋"/>
          <w:szCs w:val="22"/>
        </w:rPr>
      </w:pPr>
      <w:r>
        <w:rPr>
          <w:rFonts w:ascii="仿宋" w:hAnsi="仿宋" w:eastAsia="仿宋"/>
          <w:szCs w:val="22"/>
        </w:rPr>
        <w:t xml:space="preserve">2、本项调查应由评价人员结合现场评价，宜以访谈式调查完成；  </w:t>
      </w:r>
    </w:p>
    <w:p>
      <w:pPr>
        <w:spacing w:line="240" w:lineRule="atLeast"/>
        <w:rPr>
          <w:rFonts w:ascii="仿宋" w:hAnsi="仿宋" w:eastAsia="仿宋"/>
          <w:szCs w:val="22"/>
        </w:rPr>
      </w:pPr>
      <w:r>
        <w:rPr>
          <w:rFonts w:ascii="仿宋" w:hAnsi="仿宋" w:eastAsia="仿宋"/>
          <w:szCs w:val="22"/>
        </w:rPr>
        <w:t>3、调查</w:t>
      </w:r>
      <w:r>
        <w:rPr>
          <w:rFonts w:hint="eastAsia" w:ascii="仿宋" w:hAnsi="仿宋" w:eastAsia="仿宋"/>
          <w:szCs w:val="22"/>
        </w:rPr>
        <w:t>应覆盖入住老年人全部能力状态。</w:t>
      </w:r>
      <w:r>
        <w:rPr>
          <w:rFonts w:ascii="仿宋" w:hAnsi="仿宋" w:eastAsia="仿宋"/>
          <w:szCs w:val="22"/>
        </w:rPr>
        <w:t>样本量应不少于</w:t>
      </w:r>
      <w:r>
        <w:rPr>
          <w:rFonts w:hint="eastAsia" w:ascii="仿宋" w:hAnsi="仿宋" w:eastAsia="仿宋"/>
          <w:szCs w:val="22"/>
        </w:rPr>
        <w:t>入住老年人</w:t>
      </w:r>
      <w:r>
        <w:rPr>
          <w:rFonts w:ascii="仿宋" w:hAnsi="仿宋" w:eastAsia="仿宋"/>
          <w:szCs w:val="22"/>
        </w:rPr>
        <w:t>总数的10%，并至少保证5名</w:t>
      </w:r>
      <w:r>
        <w:rPr>
          <w:rFonts w:hint="eastAsia" w:ascii="仿宋" w:hAnsi="仿宋" w:eastAsia="仿宋"/>
          <w:szCs w:val="22"/>
        </w:rPr>
        <w:t>老年人</w:t>
      </w:r>
      <w:r>
        <w:rPr>
          <w:rFonts w:ascii="仿宋" w:hAnsi="仿宋" w:eastAsia="仿宋"/>
          <w:szCs w:val="22"/>
        </w:rPr>
        <w:t>的抽样数量。</w:t>
      </w:r>
    </w:p>
    <w:p>
      <w:pPr>
        <w:rPr>
          <w:rFonts w:ascii="仿宋" w:hAnsi="仿宋" w:eastAsia="仿宋"/>
          <w:sz w:val="32"/>
          <w:szCs w:val="32"/>
        </w:rPr>
      </w:pPr>
      <w:r>
        <w:rPr>
          <w:rFonts w:hint="eastAsia" w:ascii="仿宋" w:hAnsi="仿宋" w:eastAsia="仿宋"/>
          <w:sz w:val="32"/>
          <w:szCs w:val="32"/>
        </w:rPr>
        <w:t>附录2：养老机构员工满意度调查表</w:t>
      </w:r>
    </w:p>
    <w:p>
      <w:pPr>
        <w:ind w:firstLine="4312" w:firstLineChars="1540"/>
        <w:rPr>
          <w:b/>
          <w:sz w:val="28"/>
          <w:szCs w:val="28"/>
        </w:rPr>
      </w:pPr>
      <w:r>
        <w:rPr>
          <w:rFonts w:hint="eastAsia"/>
          <w:b/>
          <w:sz w:val="28"/>
          <w:szCs w:val="28"/>
        </w:rPr>
        <w:t>养老机构员工满意度调查表（</w:t>
      </w:r>
      <w:r>
        <w:rPr>
          <w:b/>
          <w:sz w:val="28"/>
          <w:szCs w:val="28"/>
        </w:rPr>
        <w:t>共</w:t>
      </w:r>
      <w:r>
        <w:rPr>
          <w:rFonts w:hint="eastAsia"/>
          <w:b/>
          <w:sz w:val="28"/>
          <w:szCs w:val="28"/>
        </w:rPr>
        <w:t>20分、</w:t>
      </w:r>
      <w:r>
        <w:rPr>
          <w:b/>
          <w:sz w:val="28"/>
          <w:szCs w:val="28"/>
        </w:rPr>
        <w:t>每项</w:t>
      </w:r>
      <w:r>
        <w:rPr>
          <w:rFonts w:hint="eastAsia"/>
          <w:b/>
          <w:sz w:val="28"/>
          <w:szCs w:val="28"/>
        </w:rPr>
        <w:t>2分）</w:t>
      </w:r>
    </w:p>
    <w:p>
      <w:pPr>
        <w:rPr>
          <w:szCs w:val="21"/>
        </w:rPr>
      </w:pPr>
      <w:r>
        <w:rPr>
          <w:rFonts w:hint="eastAsia"/>
          <w:szCs w:val="21"/>
        </w:rPr>
        <w:t>您</w:t>
      </w:r>
      <w:r>
        <w:rPr>
          <w:szCs w:val="21"/>
        </w:rPr>
        <w:t>好</w:t>
      </w:r>
      <w:r>
        <w:rPr>
          <w:rFonts w:hint="eastAsia"/>
          <w:szCs w:val="21"/>
        </w:rPr>
        <w:t>！</w:t>
      </w:r>
    </w:p>
    <w:p>
      <w:pPr>
        <w:ind w:firstLine="420" w:firstLineChars="200"/>
        <w:rPr>
          <w:szCs w:val="21"/>
        </w:rPr>
      </w:pPr>
      <w:r>
        <w:rPr>
          <w:rFonts w:hint="eastAsia"/>
          <w:szCs w:val="21"/>
        </w:rPr>
        <w:t>我们受陕西省民政厅（市民政局）的委托来贵机构进行星级评定，您的满意度是星级评定工作的重要部分。请您根据实际情况进行选择和填写。请放心，您的意见是匿名的，仅用于统计使用。</w:t>
      </w:r>
    </w:p>
    <w:p>
      <w:pPr>
        <w:ind w:firstLine="120" w:firstLineChars="50"/>
        <w:rPr>
          <w:bCs/>
          <w:sz w:val="24"/>
        </w:rPr>
      </w:pPr>
      <w:r>
        <w:rPr>
          <w:rFonts w:hint="eastAsia"/>
          <w:bCs/>
          <w:sz w:val="24"/>
        </w:rPr>
        <w:t>机构名称：</w:t>
      </w:r>
    </w:p>
    <w:tbl>
      <w:tblPr>
        <w:tblStyle w:val="4"/>
        <w:tblpPr w:leftFromText="180" w:rightFromText="180" w:vertAnchor="text" w:horzAnchor="page" w:tblpX="1473" w:tblpY="4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532"/>
        <w:gridCol w:w="2511"/>
        <w:gridCol w:w="1120"/>
        <w:gridCol w:w="4623"/>
        <w:gridCol w:w="1596"/>
        <w:gridCol w:w="1021"/>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top"/>
          </w:tcPr>
          <w:p>
            <w:pPr>
              <w:jc w:val="center"/>
              <w:rPr>
                <w:szCs w:val="21"/>
              </w:rPr>
            </w:pPr>
            <w:r>
              <w:rPr>
                <w:rFonts w:hint="eastAsia"/>
                <w:szCs w:val="21"/>
              </w:rPr>
              <w:t>题号</w:t>
            </w:r>
          </w:p>
        </w:tc>
        <w:tc>
          <w:tcPr>
            <w:tcW w:w="4043" w:type="dxa"/>
            <w:gridSpan w:val="2"/>
            <w:noWrap/>
            <w:vAlign w:val="top"/>
          </w:tcPr>
          <w:p>
            <w:pPr>
              <w:jc w:val="center"/>
              <w:rPr>
                <w:szCs w:val="21"/>
              </w:rPr>
            </w:pPr>
            <w:r>
              <w:rPr>
                <w:rFonts w:hint="eastAsia"/>
                <w:szCs w:val="21"/>
              </w:rPr>
              <w:t>调查项目</w:t>
            </w:r>
          </w:p>
        </w:tc>
        <w:tc>
          <w:tcPr>
            <w:tcW w:w="8360" w:type="dxa"/>
            <w:gridSpan w:val="4"/>
            <w:noWrap/>
            <w:vAlign w:val="top"/>
          </w:tcPr>
          <w:p>
            <w:pPr>
              <w:jc w:val="center"/>
              <w:rPr>
                <w:szCs w:val="21"/>
              </w:rPr>
            </w:pPr>
            <w:r>
              <w:rPr>
                <w:rFonts w:hint="eastAsia"/>
                <w:szCs w:val="21"/>
              </w:rPr>
              <w:t>员工评价</w:t>
            </w:r>
          </w:p>
        </w:tc>
        <w:tc>
          <w:tcPr>
            <w:tcW w:w="735" w:type="dxa"/>
            <w:noWrap/>
            <w:vAlign w:val="top"/>
          </w:tcPr>
          <w:p>
            <w:pPr>
              <w:jc w:val="center"/>
              <w:rPr>
                <w:szCs w:val="21"/>
              </w:rPr>
            </w:pPr>
            <w:r>
              <w:rPr>
                <w:rFonts w:hint="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10" w:type="dxa"/>
            <w:noWrap/>
            <w:vAlign w:val="center"/>
          </w:tcPr>
          <w:p>
            <w:pPr>
              <w:jc w:val="center"/>
              <w:rPr>
                <w:szCs w:val="21"/>
              </w:rPr>
            </w:pPr>
            <w:r>
              <w:rPr>
                <w:rFonts w:hint="eastAsia"/>
                <w:szCs w:val="21"/>
              </w:rPr>
              <w:t>1</w:t>
            </w:r>
          </w:p>
        </w:tc>
        <w:tc>
          <w:tcPr>
            <w:tcW w:w="4043" w:type="dxa"/>
            <w:gridSpan w:val="2"/>
            <w:noWrap/>
            <w:vAlign w:val="top"/>
          </w:tcPr>
          <w:p>
            <w:pPr>
              <w:jc w:val="center"/>
              <w:rPr>
                <w:szCs w:val="21"/>
              </w:rPr>
            </w:pPr>
            <w:r>
              <w:rPr>
                <w:rFonts w:hint="eastAsia"/>
                <w:szCs w:val="21"/>
              </w:rPr>
              <w:t>您对工作条件与环境的满意程度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2</w:t>
            </w:r>
          </w:p>
        </w:tc>
        <w:tc>
          <w:tcPr>
            <w:tcW w:w="4043" w:type="dxa"/>
            <w:gridSpan w:val="2"/>
            <w:noWrap/>
            <w:vAlign w:val="top"/>
          </w:tcPr>
          <w:p>
            <w:pPr>
              <w:jc w:val="center"/>
              <w:rPr>
                <w:szCs w:val="21"/>
              </w:rPr>
            </w:pPr>
            <w:r>
              <w:rPr>
                <w:rFonts w:hint="eastAsia"/>
                <w:szCs w:val="21"/>
              </w:rPr>
              <w:t>您对报酬与所做的工作量的满意程度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3</w:t>
            </w:r>
          </w:p>
        </w:tc>
        <w:tc>
          <w:tcPr>
            <w:tcW w:w="4043" w:type="dxa"/>
            <w:gridSpan w:val="2"/>
            <w:noWrap/>
            <w:vAlign w:val="top"/>
          </w:tcPr>
          <w:p>
            <w:pPr>
              <w:jc w:val="center"/>
              <w:rPr>
                <w:szCs w:val="21"/>
              </w:rPr>
            </w:pPr>
            <w:r>
              <w:rPr>
                <w:rFonts w:hint="eastAsia"/>
                <w:szCs w:val="21"/>
              </w:rPr>
              <w:t>您对同事间关系的满意程度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4</w:t>
            </w:r>
          </w:p>
        </w:tc>
        <w:tc>
          <w:tcPr>
            <w:tcW w:w="4043" w:type="dxa"/>
            <w:gridSpan w:val="2"/>
            <w:noWrap/>
            <w:vAlign w:val="top"/>
          </w:tcPr>
          <w:p>
            <w:pPr>
              <w:jc w:val="center"/>
              <w:rPr>
                <w:szCs w:val="21"/>
              </w:rPr>
            </w:pPr>
            <w:r>
              <w:rPr>
                <w:rFonts w:hint="eastAsia"/>
                <w:szCs w:val="21"/>
              </w:rPr>
              <w:t>您对直接主管领导的满意程度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5</w:t>
            </w:r>
          </w:p>
        </w:tc>
        <w:tc>
          <w:tcPr>
            <w:tcW w:w="4043" w:type="dxa"/>
            <w:gridSpan w:val="2"/>
            <w:noWrap/>
            <w:vAlign w:val="top"/>
          </w:tcPr>
          <w:p>
            <w:pPr>
              <w:jc w:val="center"/>
              <w:rPr>
                <w:szCs w:val="21"/>
              </w:rPr>
            </w:pPr>
            <w:r>
              <w:rPr>
                <w:rFonts w:hint="eastAsia"/>
                <w:szCs w:val="21"/>
              </w:rPr>
              <w:t>您对自身发展空间的满意程度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6</w:t>
            </w:r>
          </w:p>
        </w:tc>
        <w:tc>
          <w:tcPr>
            <w:tcW w:w="4043" w:type="dxa"/>
            <w:gridSpan w:val="2"/>
            <w:noWrap/>
            <w:vAlign w:val="top"/>
          </w:tcPr>
          <w:p>
            <w:pPr>
              <w:jc w:val="center"/>
              <w:rPr>
                <w:szCs w:val="21"/>
              </w:rPr>
            </w:pPr>
            <w:r>
              <w:rPr>
                <w:rFonts w:hint="eastAsia"/>
                <w:szCs w:val="21"/>
              </w:rPr>
              <w:t>您对</w:t>
            </w:r>
            <w:r>
              <w:rPr>
                <w:szCs w:val="21"/>
              </w:rPr>
              <w:t>职业培训</w:t>
            </w:r>
            <w:r>
              <w:rPr>
                <w:rFonts w:hint="eastAsia"/>
                <w:szCs w:val="21"/>
              </w:rPr>
              <w:t>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 w:hRule="atLeast"/>
        </w:trPr>
        <w:tc>
          <w:tcPr>
            <w:tcW w:w="810" w:type="dxa"/>
            <w:noWrap/>
            <w:vAlign w:val="center"/>
          </w:tcPr>
          <w:p>
            <w:pPr>
              <w:jc w:val="center"/>
              <w:rPr>
                <w:szCs w:val="21"/>
              </w:rPr>
            </w:pPr>
            <w:r>
              <w:rPr>
                <w:rFonts w:hint="eastAsia"/>
                <w:szCs w:val="21"/>
              </w:rPr>
              <w:t>7</w:t>
            </w:r>
          </w:p>
        </w:tc>
        <w:tc>
          <w:tcPr>
            <w:tcW w:w="4043" w:type="dxa"/>
            <w:gridSpan w:val="2"/>
            <w:noWrap/>
            <w:vAlign w:val="top"/>
          </w:tcPr>
          <w:p>
            <w:pPr>
              <w:jc w:val="center"/>
              <w:rPr>
                <w:szCs w:val="21"/>
              </w:rPr>
            </w:pPr>
            <w:r>
              <w:rPr>
                <w:rFonts w:hint="eastAsia"/>
                <w:szCs w:val="21"/>
              </w:rPr>
              <w:t>您对劳动强度和劳动时间的满意程度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8</w:t>
            </w:r>
          </w:p>
        </w:tc>
        <w:tc>
          <w:tcPr>
            <w:tcW w:w="4043" w:type="dxa"/>
            <w:gridSpan w:val="2"/>
            <w:noWrap/>
            <w:vAlign w:val="top"/>
          </w:tcPr>
          <w:p>
            <w:pPr>
              <w:jc w:val="center"/>
              <w:rPr>
                <w:szCs w:val="21"/>
              </w:rPr>
            </w:pPr>
            <w:r>
              <w:rPr>
                <w:rFonts w:hint="eastAsia"/>
                <w:szCs w:val="21"/>
              </w:rPr>
              <w:t>您家人对您目前工作的态度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9</w:t>
            </w:r>
          </w:p>
        </w:tc>
        <w:tc>
          <w:tcPr>
            <w:tcW w:w="4043" w:type="dxa"/>
            <w:gridSpan w:val="2"/>
            <w:noWrap/>
            <w:vAlign w:val="top"/>
          </w:tcPr>
          <w:p>
            <w:pPr>
              <w:jc w:val="center"/>
              <w:rPr>
                <w:szCs w:val="21"/>
              </w:rPr>
            </w:pPr>
            <w:r>
              <w:rPr>
                <w:rFonts w:hint="eastAsia"/>
                <w:szCs w:val="21"/>
              </w:rPr>
              <w:t>您对院里的管理方式的满意程度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ign w:val="center"/>
          </w:tcPr>
          <w:p>
            <w:pPr>
              <w:jc w:val="center"/>
              <w:rPr>
                <w:szCs w:val="21"/>
              </w:rPr>
            </w:pPr>
            <w:r>
              <w:rPr>
                <w:rFonts w:hint="eastAsia"/>
                <w:szCs w:val="21"/>
              </w:rPr>
              <w:t>10</w:t>
            </w:r>
          </w:p>
        </w:tc>
        <w:tc>
          <w:tcPr>
            <w:tcW w:w="4043" w:type="dxa"/>
            <w:gridSpan w:val="2"/>
            <w:noWrap/>
            <w:vAlign w:val="top"/>
          </w:tcPr>
          <w:p>
            <w:pPr>
              <w:jc w:val="center"/>
              <w:rPr>
                <w:szCs w:val="21"/>
              </w:rPr>
            </w:pPr>
            <w:r>
              <w:rPr>
                <w:rFonts w:hint="eastAsia"/>
                <w:szCs w:val="21"/>
              </w:rPr>
              <w:t>综合来看，您对在这里工作的满意程度</w:t>
            </w:r>
          </w:p>
        </w:tc>
        <w:tc>
          <w:tcPr>
            <w:tcW w:w="8360" w:type="dxa"/>
            <w:gridSpan w:val="4"/>
            <w:noWrap/>
            <w:vAlign w:val="top"/>
          </w:tcPr>
          <w:p>
            <w:pPr>
              <w:jc w:val="center"/>
              <w:rPr>
                <w:szCs w:val="21"/>
              </w:rPr>
            </w:pPr>
            <w:r>
              <w:rPr>
                <w:rFonts w:hint="eastAsia"/>
                <w:szCs w:val="21"/>
              </w:rPr>
              <w:t>□满意（2分）□一般（1分）□不满意（0分</w:t>
            </w:r>
          </w:p>
        </w:tc>
        <w:tc>
          <w:tcPr>
            <w:tcW w:w="735" w:type="dxa"/>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53" w:type="dxa"/>
            <w:gridSpan w:val="3"/>
            <w:noWrap/>
            <w:vAlign w:val="top"/>
          </w:tcPr>
          <w:p>
            <w:pPr>
              <w:jc w:val="center"/>
              <w:rPr>
                <w:szCs w:val="21"/>
              </w:rPr>
            </w:pPr>
            <w:r>
              <w:rPr>
                <w:rFonts w:hint="eastAsia"/>
                <w:szCs w:val="21"/>
              </w:rPr>
              <w:t>得分合计</w:t>
            </w:r>
          </w:p>
        </w:tc>
        <w:tc>
          <w:tcPr>
            <w:tcW w:w="9095" w:type="dxa"/>
            <w:gridSpan w:val="5"/>
            <w:noWrap/>
            <w:vAlign w:val="top"/>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948" w:type="dxa"/>
            <w:gridSpan w:val="8"/>
            <w:noWrap/>
            <w:vAlign w:val="top"/>
          </w:tcPr>
          <w:p>
            <w:pPr>
              <w:rPr>
                <w:szCs w:val="21"/>
              </w:rPr>
            </w:pPr>
            <w:r>
              <w:rPr>
                <w:rFonts w:hint="eastAsia"/>
                <w:szCs w:val="21"/>
              </w:rPr>
              <w:t>员工的建议：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342" w:type="dxa"/>
            <w:gridSpan w:val="2"/>
            <w:noWrap/>
            <w:vAlign w:val="top"/>
          </w:tcPr>
          <w:p>
            <w:pPr>
              <w:jc w:val="center"/>
              <w:rPr>
                <w:szCs w:val="21"/>
              </w:rPr>
            </w:pPr>
            <w:r>
              <w:rPr>
                <w:rFonts w:hint="eastAsia"/>
                <w:szCs w:val="21"/>
              </w:rPr>
              <w:t>被调查人工号或姓名</w:t>
            </w:r>
          </w:p>
        </w:tc>
        <w:tc>
          <w:tcPr>
            <w:tcW w:w="2511" w:type="dxa"/>
            <w:noWrap/>
            <w:vAlign w:val="top"/>
          </w:tcPr>
          <w:p>
            <w:pPr>
              <w:jc w:val="center"/>
              <w:rPr>
                <w:szCs w:val="21"/>
              </w:rPr>
            </w:pPr>
          </w:p>
        </w:tc>
        <w:tc>
          <w:tcPr>
            <w:tcW w:w="1120" w:type="dxa"/>
            <w:noWrap/>
            <w:vAlign w:val="top"/>
          </w:tcPr>
          <w:p>
            <w:pPr>
              <w:jc w:val="center"/>
              <w:rPr>
                <w:szCs w:val="21"/>
              </w:rPr>
            </w:pPr>
            <w:r>
              <w:rPr>
                <w:rFonts w:hint="eastAsia"/>
                <w:szCs w:val="21"/>
              </w:rPr>
              <w:t>调查人员</w:t>
            </w:r>
          </w:p>
        </w:tc>
        <w:tc>
          <w:tcPr>
            <w:tcW w:w="4623" w:type="dxa"/>
            <w:noWrap/>
            <w:vAlign w:val="top"/>
          </w:tcPr>
          <w:p>
            <w:pPr>
              <w:jc w:val="center"/>
              <w:rPr>
                <w:szCs w:val="21"/>
              </w:rPr>
            </w:pPr>
          </w:p>
        </w:tc>
        <w:tc>
          <w:tcPr>
            <w:tcW w:w="1596" w:type="dxa"/>
            <w:noWrap/>
            <w:vAlign w:val="top"/>
          </w:tcPr>
          <w:p>
            <w:pPr>
              <w:jc w:val="center"/>
              <w:rPr>
                <w:szCs w:val="21"/>
              </w:rPr>
            </w:pPr>
            <w:r>
              <w:rPr>
                <w:rFonts w:hint="eastAsia"/>
                <w:szCs w:val="21"/>
              </w:rPr>
              <w:t>调查时间</w:t>
            </w:r>
          </w:p>
        </w:tc>
        <w:tc>
          <w:tcPr>
            <w:tcW w:w="1756" w:type="dxa"/>
            <w:gridSpan w:val="2"/>
            <w:noWrap/>
            <w:vAlign w:val="top"/>
          </w:tcPr>
          <w:p>
            <w:pPr>
              <w:jc w:val="center"/>
              <w:rPr>
                <w:szCs w:val="21"/>
              </w:rPr>
            </w:pPr>
          </w:p>
        </w:tc>
      </w:tr>
    </w:tbl>
    <w:p>
      <w:pPr>
        <w:rPr>
          <w:szCs w:val="21"/>
        </w:rPr>
      </w:pPr>
      <w:r>
        <w:rPr>
          <w:rFonts w:hint="eastAsia"/>
          <w:szCs w:val="21"/>
        </w:rPr>
        <w:t>备注：1、</w:t>
      </w:r>
      <w:r>
        <w:rPr>
          <w:szCs w:val="21"/>
        </w:rPr>
        <w:t>本</w:t>
      </w:r>
      <w:r>
        <w:rPr>
          <w:rFonts w:hint="eastAsia"/>
          <w:szCs w:val="21"/>
        </w:rPr>
        <w:t>调查表适用于养老机构一线员工；</w:t>
      </w:r>
    </w:p>
    <w:p>
      <w:pPr>
        <w:rPr>
          <w:szCs w:val="21"/>
        </w:rPr>
      </w:pPr>
      <w:r>
        <w:rPr>
          <w:rFonts w:hint="eastAsia"/>
          <w:szCs w:val="21"/>
        </w:rPr>
        <w:t>2、本项调查应由评价人员结合现场评价，宜</w:t>
      </w:r>
      <w:r>
        <w:rPr>
          <w:szCs w:val="21"/>
        </w:rPr>
        <w:t>以</w:t>
      </w:r>
      <w:r>
        <w:rPr>
          <w:rFonts w:hint="eastAsia"/>
          <w:szCs w:val="21"/>
        </w:rPr>
        <w:t>访谈式调查完成；</w:t>
      </w:r>
    </w:p>
    <w:p>
      <w:r>
        <w:rPr>
          <w:szCs w:val="21"/>
        </w:rPr>
        <w:t>3</w:t>
      </w:r>
      <w:r>
        <w:rPr>
          <w:rFonts w:hint="eastAsia"/>
          <w:szCs w:val="21"/>
        </w:rPr>
        <w:t>、</w:t>
      </w:r>
      <w:r>
        <w:rPr>
          <w:szCs w:val="21"/>
        </w:rPr>
        <w:t>调查</w:t>
      </w:r>
      <w:r>
        <w:rPr>
          <w:rFonts w:hint="eastAsia"/>
          <w:szCs w:val="21"/>
        </w:rPr>
        <w:t>样本量应不少于一线员工总数的10</w:t>
      </w:r>
      <w:r>
        <w:rPr>
          <w:szCs w:val="21"/>
        </w:rPr>
        <w:t>%，并</w:t>
      </w:r>
      <w:r>
        <w:rPr>
          <w:rFonts w:hint="eastAsia"/>
          <w:szCs w:val="21"/>
        </w:rPr>
        <w:t>至少保证5名一线员工的抽样数量。</w:t>
      </w:r>
    </w:p>
    <w:p>
      <w:pPr>
        <w:sectPr>
          <w:footerReference r:id="rId5" w:type="first"/>
          <w:footerReference r:id="rId3" w:type="default"/>
          <w:footerReference r:id="rId4" w:type="even"/>
          <w:pgSz w:w="16838" w:h="11906" w:orient="landscape"/>
          <w:pgMar w:top="1797" w:right="1440" w:bottom="1797" w:left="1440" w:header="851" w:footer="992" w:gutter="0"/>
          <w:pgNumType w:fmt="numberInDash"/>
          <w:cols w:space="425" w:num="1"/>
          <w:docGrid w:type="linesAndChar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ngsanaUPC">
    <w:panose1 w:val="02020603050405020304"/>
    <w:charset w:val="00"/>
    <w:family w:val="roman"/>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ascii="宋体" w:hAnsi="宋体" w:cs="AngsanaUPC"/>
        <w:sz w:val="28"/>
        <w:szCs w:val="28"/>
      </w:rPr>
    </w:pPr>
    <w:r>
      <w:rPr>
        <w:rStyle w:val="6"/>
        <w:rFonts w:ascii="宋体" w:hAnsi="宋体" w:cs="AngsanaUPC"/>
        <w:sz w:val="28"/>
        <w:szCs w:val="28"/>
      </w:rPr>
      <w:fldChar w:fldCharType="begin"/>
    </w:r>
    <w:r>
      <w:rPr>
        <w:rStyle w:val="6"/>
        <w:rFonts w:ascii="宋体" w:hAnsi="宋体" w:cs="AngsanaUPC"/>
        <w:sz w:val="28"/>
        <w:szCs w:val="28"/>
      </w:rPr>
      <w:instrText xml:space="preserve">PAGE  </w:instrText>
    </w:r>
    <w:r>
      <w:rPr>
        <w:rStyle w:val="6"/>
        <w:rFonts w:ascii="宋体" w:hAnsi="宋体" w:cs="AngsanaUPC"/>
        <w:sz w:val="28"/>
        <w:szCs w:val="28"/>
      </w:rPr>
      <w:fldChar w:fldCharType="separate"/>
    </w:r>
    <w:r>
      <w:rPr>
        <w:rStyle w:val="6"/>
        <w:rFonts w:ascii="宋体" w:hAnsi="宋体" w:cs="AngsanaUPC"/>
        <w:sz w:val="28"/>
        <w:szCs w:val="28"/>
      </w:rPr>
      <w:t>- 32 -</w:t>
    </w:r>
    <w:r>
      <w:rPr>
        <w:rStyle w:val="6"/>
        <w:rFonts w:ascii="宋体" w:hAnsi="宋体" w:cs="AngsanaUPC"/>
        <w:sz w:val="28"/>
        <w:szCs w:val="28"/>
      </w:rPr>
      <w:fldChar w:fldCharType="end"/>
    </w:r>
  </w:p>
  <w:p>
    <w:pPr>
      <w:pStyle w:val="3"/>
      <w:ind w:right="360" w:firstLine="360"/>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- 32 -</w:t>
    </w:r>
    <w:r>
      <w:rPr>
        <w:rStyle w:val="6"/>
      </w:rPr>
      <w:fldChar w:fldCharType="end"/>
    </w:r>
  </w:p>
  <w:p>
    <w:pPr>
      <w:pStyle w:val="3"/>
      <w:ind w:right="360" w:firstLine="360"/>
    </w:pP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w:t>
    </w:r>
    <w:r>
      <w:t xml:space="preserve"> 1 -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F4319"/>
    <w:rsid w:val="164F4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spacing w:line="360" w:lineRule="auto"/>
      <w:outlineLvl w:val="0"/>
    </w:pPr>
    <w:rPr>
      <w:rFonts w:ascii="Cambria" w:hAnsi="Cambria" w:eastAsia="宋体" w:cs="Times New Roman"/>
      <w:b/>
      <w:kern w:val="44"/>
      <w:sz w:val="32"/>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sz w:val="18"/>
      <w:szCs w:val="18"/>
    </w:rPr>
  </w:style>
  <w:style w:type="character" w:styleId="6">
    <w:name w:val="page number"/>
    <w:qFormat/>
    <w:uiPriority w:val="99"/>
    <w:rPr>
      <w:rFonts w:cs="Times New Roman"/>
    </w:rPr>
  </w:style>
  <w:style w:type="character" w:styleId="7">
    <w:name w:val="Hyperlink"/>
    <w:unhideWhenUsed/>
    <w:qFormat/>
    <w:uiPriority w:val="99"/>
    <w:rPr>
      <w:color w:val="0000FF"/>
      <w:u w:val="single"/>
    </w:rPr>
  </w:style>
  <w:style w:type="paragraph" w:customStyle="1" w:styleId="8">
    <w:name w:val="Table Paragraph"/>
    <w:basedOn w:val="1"/>
    <w:qFormat/>
    <w:uiPriority w:val="0"/>
    <w:pPr>
      <w:spacing w:line="360" w:lineRule="auto"/>
      <w:jc w:val="left"/>
    </w:pPr>
    <w:rPr>
      <w:rFonts w:ascii="宋体" w:hAnsi="宋体" w:cs="宋体"/>
      <w:kern w:val="0"/>
      <w:sz w:val="22"/>
      <w:szCs w:val="22"/>
      <w:lang w:eastAsia="en-US"/>
    </w:rPr>
  </w:style>
  <w:style w:type="character" w:customStyle="1" w:styleId="9">
    <w:name w:val="font8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2021-03-29T04:22:00Z</dcterms:created>
  <dc:creator>升斗小民</dc:creator>
  <cp:lastModifiedBy>升斗小民</cp:lastModifiedBy>
  <dcterms:modified xsi:type="dcterms:W3CDTF">2021-03-29T04:23:22Z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9D65EAE042034DF98734CC4F0FC03C70</vt:lpwstr>
  </property>
</Properties>
</file>