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1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bookmarkEnd w:id="11"/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_Toc12961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三、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_Toc32563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_Toc30579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_Toc27084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_Toc10920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（二）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r>
        <w:tab/>
      </w:r>
      <w:r>
        <w:fldChar w:fldCharType="begin"/>
      </w:r>
      <w:r>
        <w:instrText xml:space="preserve"> PAGEREF _Toc25808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（三）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r>
        <w:tab/>
      </w:r>
      <w:r>
        <w:fldChar w:fldCharType="begin"/>
      </w:r>
      <w:r>
        <w:instrText xml:space="preserve"> PAGEREF _Toc13009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_Toc15185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val="en-US" w:eastAsia="zh-CN"/>
        </w:rPr>
        <w:t xml:space="preserve">（五） </w:t>
      </w: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r>
        <w:tab/>
      </w:r>
      <w:r>
        <w:fldChar w:fldCharType="begin"/>
      </w:r>
      <w:r>
        <w:instrText xml:space="preserve"> PAGEREF _Toc21108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_Toc8851 \h </w:instrText>
      </w:r>
      <w:r>
        <w:fldChar w:fldCharType="separate"/>
      </w:r>
      <w:r>
        <w:t>9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2023年3月开始，全省社会组织的2022年的年检将在升级平台中办理。</w:t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0" w:name="_Toc1296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社会组织用户年检办理需先进行用户登录。点击“年检入口”。如下图：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60340" cy="1834515"/>
            <wp:effectExtent l="0" t="0" r="1270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" w:name="_Toc24567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32563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30579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ind w:left="480" w:leftChars="200" w:firstLine="0" w:firstLineChars="0"/>
      </w:pPr>
      <w:r>
        <w:drawing>
          <wp:inline distT="0" distB="0" distL="114300" distR="114300">
            <wp:extent cx="2912745" cy="1724660"/>
            <wp:effectExtent l="0" t="0" r="19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48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点击“编辑年检信息”将会出现二维码，请各级社会组织及相关工作人员扫码授权登陆，才可进行年检信息编辑。2022年年检相关信息将会通过公众号及小程序及时推送。</w:t>
      </w:r>
    </w:p>
    <w:p>
      <w:pPr>
        <w:pStyle w:val="4"/>
        <w:bidi w:val="0"/>
        <w:rPr>
          <w:rFonts w:hint="eastAsia"/>
          <w:lang w:eastAsia="zh-CN"/>
        </w:rPr>
      </w:pPr>
      <w:bookmarkStart w:id="4" w:name="_Toc2708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疫情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numPr>
          <w:ilvl w:val="0"/>
          <w:numId w:val="0"/>
        </w:numPr>
        <w:ind w:left="900" w:leftChars="200" w:hanging="420" w:hanging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10920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必须填写组织理事和监事信息。点击“添加一项”，新增一条。也可以修改理事或监事信息。填写完成所有信息后，点击下方“添加”按钮进行保存。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必须填写本组织内设机构信息。点击“添加一项”，新增一条。还可以修改、删除操作。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如有参与乡村振兴工作情况、参与疫情防控情况、参与政府购买服务情况、重大事项报备情况请填写对应表单，没有可填写”无”，填充完成后点击下方的“保存”按钮进行保存。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填写注意事项可参考社团组织填写内容里第六项“乡村振兴工作情况填写”。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25808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13009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4394200" cy="2016125"/>
            <wp:effectExtent l="0" t="0" r="6350" b="317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年检提交完成后，显示当前状态已提交等待审核。已经提交的年检报告不能再修改，除非被审核部门退回要求补正。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15185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，右侧界面显示当前您的年检状态。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未提交年检时状态，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提交年检报告后，状态会如下：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bookmarkStart w:id="9" w:name="_Toc21108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bookmarkEnd w:id="9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仍然访问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。查看“年检公告”。已经审核完成的年检</w:t>
      </w:r>
      <w:r>
        <w:rPr>
          <w:rFonts w:hint="eastAsia"/>
          <w:lang w:val="en-US" w:eastAsia="zh-CN"/>
        </w:rPr>
        <w:t>/年报在这里公示。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4322445" cy="2431415"/>
            <wp:effectExtent l="0" t="0" r="1905" b="698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rcRect r="12315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点击“更多”，输入本组织名称或统一信用代码，可以查到本组织年检/年报情况。</w:t>
      </w:r>
    </w:p>
    <w:p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已经公示了年检年度正常参检了的社会组织，可以到年检管理机构盖年检章。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0" w:name="_Toc8851"/>
      <w:r>
        <w:rPr>
          <w:rFonts w:hint="eastAsia"/>
          <w:lang w:val="en-US" w:eastAsia="zh-CN"/>
        </w:rPr>
        <w:t>在线客服</w:t>
      </w:r>
      <w:bookmarkEnd w:id="10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MDgzNzA3ZDcyZjc3OTAyYjg0MmY4ZGE4ODVjZTA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0FF84899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53580C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Body Text First Indent"/>
    <w:basedOn w:val="11"/>
    <w:qFormat/>
    <w:uiPriority w:val="0"/>
    <w:pPr>
      <w:ind w:firstLine="420" w:firstLineChars="100"/>
    </w:p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qFormat/>
    <w:uiPriority w:val="0"/>
    <w:pPr>
      <w:ind w:firstLine="420" w:firstLineChars="100"/>
    </w:pPr>
  </w:style>
  <w:style w:type="character" w:customStyle="1" w:styleId="27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3100</Words>
  <Characters>3205</Characters>
  <Lines>0</Lines>
  <Paragraphs>0</Paragraphs>
  <TotalTime>3</TotalTime>
  <ScaleCrop>false</ScaleCrop>
  <LinksUpToDate>false</LinksUpToDate>
  <CharactersWithSpaces>3280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lenovo</cp:lastModifiedBy>
  <dcterms:modified xsi:type="dcterms:W3CDTF">2023-03-08T07:44:29Z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46047C309AF944F793277FDC804F8CE2</vt:lpwstr>
  </property>
</Properties>
</file>